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r>
        <w:rPr>
          <w:rFonts w:hint="eastAsia" w:ascii="Arial" w:hAnsi="Arial"/>
          <w:b/>
          <w:iCs/>
          <w:color w:val="000000"/>
          <w:sz w:val="28"/>
          <w:szCs w:val="28"/>
        </w:rPr>
        <w:t xml:space="preserve">   </w:t>
      </w:r>
      <w:r>
        <w:drawing>
          <wp:anchor distT="0" distB="0" distL="114300" distR="114300" simplePos="0" relativeHeight="251680768" behindDoc="0" locked="0" layoutInCell="1" allowOverlap="1">
            <wp:simplePos x="0" y="0"/>
            <wp:positionH relativeFrom="column">
              <wp:posOffset>-104775</wp:posOffset>
            </wp:positionH>
            <wp:positionV relativeFrom="paragraph">
              <wp:posOffset>108585</wp:posOffset>
            </wp:positionV>
            <wp:extent cx="2743200" cy="1721485"/>
            <wp:effectExtent l="0" t="0" r="0" b="12065"/>
            <wp:wrapSquare wrapText="bothSides"/>
            <wp:docPr id="3" name="图片 4" descr="仪天成电力设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仪天成电力设备logo"/>
                    <pic:cNvPicPr>
                      <a:picLocks noChangeAspect="1"/>
                    </pic:cNvPicPr>
                  </pic:nvPicPr>
                  <pic:blipFill>
                    <a:blip r:embed="rId6"/>
                    <a:stretch>
                      <a:fillRect/>
                    </a:stretch>
                  </pic:blipFill>
                  <pic:spPr>
                    <a:xfrm>
                      <a:off x="0" y="0"/>
                      <a:ext cx="2743200" cy="1721485"/>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bidi w:val="0"/>
        <w:adjustRightInd w:val="0"/>
        <w:snapToGrid/>
        <w:spacing w:line="720" w:lineRule="auto"/>
        <w:ind w:firstLine="281" w:firstLineChars="100"/>
        <w:textAlignment w:val="baseline"/>
        <w:outlineLvl w:val="9"/>
        <w:rPr>
          <w:rFonts w:hint="eastAsia" w:ascii="宋体" w:hAnsi="宋体"/>
          <w:b/>
          <w:spacing w:val="26"/>
          <w:sz w:val="48"/>
        </w:rPr>
      </w:pPr>
      <w:r>
        <w:rPr>
          <w:rFonts w:hint="eastAsia" w:ascii="楷体_GB2312" w:hAnsi="宋体" w:eastAsia="楷体_GB2312" w:cs="SimSun-Identity-H"/>
          <w:b/>
          <w:color w:val="000000"/>
          <w:kern w:val="0"/>
          <w:sz w:val="28"/>
          <w:szCs w:val="28"/>
        </w:rPr>
        <mc:AlternateContent>
          <mc:Choice Requires="wps">
            <w:drawing>
              <wp:anchor distT="0" distB="0" distL="114300" distR="114300" simplePos="0" relativeHeight="251679744" behindDoc="0" locked="0" layoutInCell="1" allowOverlap="1">
                <wp:simplePos x="0" y="0"/>
                <wp:positionH relativeFrom="column">
                  <wp:posOffset>1284605</wp:posOffset>
                </wp:positionH>
                <wp:positionV relativeFrom="paragraph">
                  <wp:posOffset>476250</wp:posOffset>
                </wp:positionV>
                <wp:extent cx="3910965" cy="14605"/>
                <wp:effectExtent l="0" t="38100" r="13335" b="42545"/>
                <wp:wrapNone/>
                <wp:docPr id="2" name="直接连接符 2"/>
                <wp:cNvGraphicFramePr/>
                <a:graphic xmlns:a="http://schemas.openxmlformats.org/drawingml/2006/main">
                  <a:graphicData uri="http://schemas.microsoft.com/office/word/2010/wordprocessingShape">
                    <wps:wsp>
                      <wps:cNvSpPr/>
                      <wps:spPr>
                        <a:xfrm>
                          <a:off x="0" y="0"/>
                          <a:ext cx="3910965" cy="14605"/>
                        </a:xfrm>
                        <a:prstGeom prst="line">
                          <a:avLst/>
                        </a:prstGeom>
                        <a:ln w="762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1.15pt;margin-top:37.5pt;height:1.15pt;width:307.95pt;z-index:251679744;mso-width-relative:page;mso-height-relative:page;" filled="f" stroked="t" coordsize="21600,21600" o:gfxdata="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11xLNUAAAAJAQAADwAAAAAA&#10;AAABACAAAAAiAAAAZHJzL2Rvd25yZXYueG1sUEsBAhQAFAAAAAgAh07iQCpkFkjdAQAAmwMAAA4A&#10;AAAAAAAAAQAgAAAAJAEAAGRycy9lMm9Eb2MueG1sUEsFBgAAAAAGAAYAWQEAAHMFAAAAAA==&#10;">
                <v:fill on="f" focussize="0,0"/>
                <v:stroke weight="6pt" color="#000000" joinstyle="round"/>
                <v:imagedata o:title=""/>
                <o:lock v:ext="edit" aspectratio="f"/>
              </v:line>
            </w:pict>
          </mc:Fallback>
        </mc:AlternateContent>
      </w:r>
      <w:r>
        <w:rPr>
          <w:rFonts w:hint="eastAsia" w:ascii="楷体_GB2312" w:hAnsi="宋体" w:eastAsia="楷体_GB2312" w:cs="SimSun-Identity-H"/>
          <w:b/>
          <w:color w:val="000000"/>
          <w:kern w:val="0"/>
          <w:sz w:val="28"/>
          <w:szCs w:val="28"/>
        </w:rPr>
        <w:t xml:space="preserve">      </w:t>
      </w:r>
      <w:r>
        <w:rPr>
          <w:rFonts w:hint="eastAsia" w:ascii="楷体_GB2312" w:hAnsi="宋体" w:eastAsia="楷体_GB2312" w:cs="SimSun-Identity-H"/>
          <w:b/>
          <w:color w:val="000000"/>
          <w:kern w:val="0"/>
          <w:sz w:val="28"/>
          <w:szCs w:val="28"/>
          <w:lang w:val="en-US" w:eastAsia="zh-CN"/>
        </w:rPr>
        <w:t xml:space="preserve">     </w:t>
      </w:r>
      <w:r>
        <w:rPr>
          <w:rFonts w:hint="eastAsia" w:ascii="楷体_GB2312" w:hAnsi="宋体" w:eastAsia="楷体_GB2312" w:cs="SimSun-Identity-H"/>
          <w:b/>
          <w:color w:val="000000"/>
          <w:kern w:val="0"/>
          <w:sz w:val="28"/>
          <w:szCs w:val="28"/>
        </w:rPr>
        <w:t xml:space="preserve"> </w:t>
      </w:r>
      <w:r>
        <w:rPr>
          <w:rFonts w:hint="eastAsia" w:ascii="宋体" w:hAnsi="宋体"/>
          <w:b/>
          <w:spacing w:val="26"/>
          <w:sz w:val="48"/>
        </w:rPr>
        <w:t>YTC8106-100交直流分压器</w:t>
      </w: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ind w:firstLine="132" w:firstLineChars="47"/>
        <w:jc w:val="left"/>
        <w:textAlignment w:val="baseline"/>
        <w:outlineLvl w:val="9"/>
        <w:rPr>
          <w:rFonts w:hint="eastAsia" w:ascii="黑体" w:hAnsi="宋体" w:eastAsia="黑体" w:cs="SimSun-Identity-H"/>
          <w:b/>
          <w:color w:val="000000"/>
          <w:kern w:val="0"/>
          <w:sz w:val="86"/>
          <w:szCs w:val="28"/>
        </w:rPr>
      </w:pPr>
      <w:r>
        <w:rPr>
          <w:rFonts w:hint="eastAsia" w:ascii="楷体_GB2312" w:hAnsi="宋体" w:eastAsia="楷体_GB2312" w:cs="SimSun-Identity-H"/>
          <w:b/>
          <w:color w:val="000000"/>
          <w:kern w:val="0"/>
          <w:sz w:val="28"/>
          <w:szCs w:val="28"/>
        </w:rPr>
        <w:t xml:space="preserve">                     </w:t>
      </w:r>
      <w:r>
        <w:rPr>
          <w:rFonts w:hint="eastAsia" w:ascii="黑体" w:hAnsi="宋体" w:eastAsia="黑体" w:cs="SimSun-Identity-H"/>
          <w:b/>
          <w:color w:val="000000"/>
          <w:kern w:val="0"/>
          <w:sz w:val="86"/>
          <w:szCs w:val="28"/>
        </w:rPr>
        <w:t>用户操作手册</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尊敬的顾客</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感谢您购买本公司</w:t>
      </w:r>
      <w:r>
        <w:rPr>
          <w:rFonts w:hint="eastAsia" w:ascii="宋体" w:hAnsi="宋体" w:eastAsia="宋体" w:cs="宋体"/>
          <w:sz w:val="24"/>
          <w:szCs w:val="24"/>
          <w:lang w:val="en-US" w:eastAsia="zh-CN"/>
        </w:rPr>
        <w:t>YTC8106-100交直流分压器</w:t>
      </w:r>
      <w:r>
        <w:rPr>
          <w:rFonts w:hint="eastAsia" w:ascii="宋体" w:hAnsi="宋体" w:eastAsia="宋体" w:cs="宋体"/>
          <w:sz w:val="24"/>
          <w:szCs w:val="24"/>
        </w:rPr>
        <w:t>。在您初次使用该仪器前，请您详细地阅读本使用说明书，将可帮助您熟练地使用本仪器。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pict>
          <v:shape id="Picture 2" o:spid="_x0000_s1026" o:spt="75" type="#_x0000_t75" style="position:absolute;left:0pt;margin-left:-36.75pt;margin-top:23.1pt;height:107.95pt;width:107.95pt;mso-wrap-distance-bottom:0pt;mso-wrap-distance-left:9pt;mso-wrap-distance-right:9pt;mso-wrap-distance-top:0pt;z-index:251663360;mso-width-relative:page;mso-height-relative:page;" o:ole="t" filled="f" o:preferrelative="t" stroked="f" coordsize="21600,21600">
            <v:path/>
            <v:fill on="f" focussize="0,0"/>
            <v:stroke on="f"/>
            <v:imagedata r:id="rId8" cropleft="11097f" croptop="8323f" cropright="7274f" cropbottom="10048f" o:title=""/>
            <o:lock v:ext="edit" grouping="f" rotation="f" text="f" aspectratio="t"/>
            <w10:wrap type="square"/>
          </v:shape>
          <o:OLEObject Type="Embed" ProgID="PBrush" ShapeID="Picture 2" DrawAspect="Content" ObjectID="_1468075725" r:id="rId7">
            <o:LockedField>false</o:LockedField>
          </o:OLEObject>
        </w:pic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我们的宗旨是不断地改进和完善公司的产品，因此您所使用的仪器可能与使用说明书有少许的差别。如果有改动的话，我们会用附页方式告知，敬请谅解！您有不清楚之处，请与公司售后服务部联络，我们定会满足您的要求。</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pict>
          <v:shape id="Picture 3" o:spid="_x0000_s1027" o:spt="75" type="#_x0000_t75" style="position:absolute;left:0pt;margin-left:-27pt;margin-top:19.8pt;height:95.25pt;width:95.25pt;mso-wrap-distance-bottom:0pt;mso-wrap-distance-left:9pt;mso-wrap-distance-right:9pt;mso-wrap-distance-top:0pt;z-index:251664384;mso-width-relative:page;mso-height-relative:page;" o:ole="t" filled="f" o:preferrelative="t" stroked="f" coordsize="21600,21600">
            <v:path/>
            <v:fill on="f" focussize="0,0"/>
            <v:stroke on="f"/>
            <v:imagedata r:id="rId10" cropleft="13871f" croptop="8323f" cropright="10048f" cropbottom="15596f" o:title=""/>
            <o:lock v:ext="edit" grouping="f" rotation="f" text="f" aspectratio="t"/>
            <w10:wrap type="square"/>
          </v:shape>
          <o:OLEObject Type="Embed" ProgID="PBrush" ShapeID="Picture 3" DrawAspect="Content" ObjectID="_1468075726" r:id="rId9">
            <o:LockedField>false</o:LockedField>
          </o:OLEObject>
        </w:pic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360" w:firstLineChars="150"/>
        <w:textAlignment w:val="auto"/>
        <w:outlineLvl w:val="9"/>
        <w:rPr>
          <w:rFonts w:hint="eastAsia" w:ascii="宋体" w:hAnsi="宋体" w:eastAsia="宋体" w:cs="宋体"/>
          <w:sz w:val="24"/>
          <w:szCs w:val="24"/>
        </w:rPr>
      </w:pPr>
      <w:r>
        <w:rPr>
          <w:rFonts w:hint="eastAsia" w:ascii="宋体" w:hAnsi="宋体" w:eastAsia="宋体" w:cs="宋体"/>
          <w:sz w:val="24"/>
          <w:szCs w:val="24"/>
        </w:rPr>
        <w:t>由于输入输出端子、测试柱等均有可能带电压，您在插拔测试线、电源插座时，会产生电火花，小心电击，避免触电危险，注意人身安全！</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慎重保证</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720" w:firstLineChars="300"/>
        <w:textAlignment w:val="auto"/>
        <w:outlineLvl w:val="9"/>
        <w:rPr>
          <w:rFonts w:hint="eastAsia" w:ascii="宋体" w:hAnsi="宋体" w:eastAsia="宋体" w:cs="宋体"/>
          <w:sz w:val="24"/>
          <w:szCs w:val="24"/>
        </w:rPr>
      </w:pPr>
      <w:r>
        <w:rPr>
          <w:rFonts w:hint="eastAsia" w:ascii="宋体" w:hAnsi="宋体" w:eastAsia="宋体" w:cs="宋体"/>
          <w:sz w:val="24"/>
          <w:szCs w:val="24"/>
        </w:rPr>
        <w:t>本公司生产的产品，在发货之日起三个月内，如产品出现缺陷，实行包换。一年（包括一年）内如产品出现缺陷，实行免费维修。一年以上如产品出现缺陷，实行有偿终身维修。</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安全要求</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720" w:firstLineChars="300"/>
        <w:textAlignment w:val="auto"/>
        <w:outlineLvl w:val="9"/>
        <w:rPr>
          <w:rFonts w:hint="eastAsia" w:ascii="宋体" w:hAnsi="宋体" w:eastAsia="宋体" w:cs="宋体"/>
          <w:sz w:val="24"/>
          <w:szCs w:val="24"/>
        </w:rPr>
      </w:pPr>
      <w:r>
        <w:rPr>
          <w:rFonts w:hint="eastAsia" w:ascii="宋体" w:hAnsi="宋体" w:eastAsia="宋体" w:cs="宋体"/>
          <w:sz w:val="24"/>
          <w:szCs w:val="24"/>
        </w:rPr>
        <w:t>请阅读下列安全注意事项，以免人身伤害，并防止本产品或与其相连接的任何其它产品受到损坏。为了避免可能发生的危险，本产品只可在规定的范围内使用。</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437"/>
        <w:textAlignment w:val="auto"/>
        <w:outlineLvl w:val="9"/>
        <w:rPr>
          <w:rFonts w:hint="eastAsia" w:ascii="宋体" w:hAnsi="宋体" w:eastAsia="宋体" w:cs="宋体"/>
          <w:sz w:val="24"/>
          <w:szCs w:val="24"/>
          <w:u w:val="thick"/>
        </w:rPr>
      </w:pPr>
      <w:r>
        <w:rPr>
          <w:rFonts w:hint="eastAsia" w:ascii="宋体" w:hAnsi="宋体" w:eastAsia="宋体" w:cs="宋体"/>
          <w:b/>
          <w:bCs/>
          <w:i/>
          <w:iCs/>
          <w:sz w:val="24"/>
          <w:szCs w:val="24"/>
        </w:rPr>
        <w:t>只有合格的技术人员才可执行维修</w:t>
      </w:r>
      <w:r>
        <w:rPr>
          <w:rFonts w:hint="eastAsia" w:ascii="宋体" w:hAnsi="宋体" w:eastAsia="宋体" w:cs="宋体"/>
          <w:b/>
          <w:bCs/>
          <w:sz w:val="24"/>
          <w:szCs w:val="24"/>
        </w:rPr>
        <w:t>。</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210"/>
        <w:textAlignment w:val="auto"/>
        <w:outlineLvl w:val="9"/>
        <w:rPr>
          <w:rFonts w:hint="eastAsia" w:ascii="宋体" w:hAnsi="宋体" w:eastAsia="宋体" w:cs="宋体"/>
          <w:b/>
          <w:sz w:val="24"/>
          <w:szCs w:val="24"/>
        </w:rPr>
      </w:pPr>
      <w:r>
        <w:rPr>
          <w:rFonts w:hint="eastAsia" w:ascii="宋体" w:hAnsi="宋体" w:eastAsia="宋体" w:cs="宋体"/>
          <w:b/>
          <w:sz w:val="24"/>
          <w:szCs w:val="24"/>
        </w:rPr>
        <w:t>—防止火灾或人身伤害</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210"/>
        <w:textAlignment w:val="auto"/>
        <w:outlineLvl w:val="9"/>
        <w:rPr>
          <w:rFonts w:hint="eastAsia" w:ascii="宋体" w:hAnsi="宋体" w:eastAsia="宋体" w:cs="宋体"/>
          <w:sz w:val="24"/>
          <w:szCs w:val="24"/>
        </w:rPr>
      </w:pPr>
      <w:r>
        <w:rPr>
          <w:rFonts w:hint="eastAsia" w:ascii="宋体" w:hAnsi="宋体" w:eastAsia="宋体" w:cs="宋体"/>
          <w:b/>
          <w:sz w:val="24"/>
          <w:szCs w:val="24"/>
        </w:rPr>
        <w:t>使用适当的电源线。</w:t>
      </w:r>
      <w:r>
        <w:rPr>
          <w:rFonts w:hint="eastAsia" w:ascii="宋体" w:hAnsi="宋体" w:eastAsia="宋体" w:cs="宋体"/>
          <w:sz w:val="24"/>
          <w:szCs w:val="24"/>
        </w:rPr>
        <w:t>只可使用本产品专用、并且符合本产品规格的电源线。</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210"/>
        <w:textAlignment w:val="auto"/>
        <w:outlineLvl w:val="9"/>
        <w:rPr>
          <w:rFonts w:hint="eastAsia" w:ascii="宋体" w:hAnsi="宋体" w:eastAsia="宋体" w:cs="宋体"/>
          <w:sz w:val="24"/>
          <w:szCs w:val="24"/>
        </w:rPr>
      </w:pPr>
      <w:r>
        <w:rPr>
          <w:rFonts w:hint="eastAsia" w:ascii="宋体" w:hAnsi="宋体" w:eastAsia="宋体" w:cs="宋体"/>
          <w:b/>
          <w:sz w:val="24"/>
          <w:szCs w:val="24"/>
        </w:rPr>
        <w:t>正确地连接和断开。</w:t>
      </w:r>
      <w:r>
        <w:rPr>
          <w:rFonts w:hint="eastAsia" w:ascii="宋体" w:hAnsi="宋体" w:eastAsia="宋体" w:cs="宋体"/>
          <w:sz w:val="24"/>
          <w:szCs w:val="24"/>
        </w:rPr>
        <w:t>当测试导线与带电端子连接时，请勿随意连接或断开测试导线。</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210"/>
        <w:textAlignment w:val="auto"/>
        <w:outlineLvl w:val="9"/>
        <w:rPr>
          <w:rFonts w:hint="eastAsia" w:ascii="宋体" w:hAnsi="宋体" w:eastAsia="宋体" w:cs="宋体"/>
          <w:sz w:val="24"/>
          <w:szCs w:val="24"/>
        </w:rPr>
      </w:pPr>
      <w:r>
        <w:rPr>
          <w:rFonts w:hint="eastAsia" w:ascii="宋体" w:hAnsi="宋体" w:eastAsia="宋体" w:cs="宋体"/>
          <w:b/>
          <w:sz w:val="24"/>
          <w:szCs w:val="24"/>
        </w:rPr>
        <w:t>产品接地。</w:t>
      </w:r>
      <w:r>
        <w:rPr>
          <w:rFonts w:hint="eastAsia" w:ascii="宋体" w:hAnsi="宋体" w:eastAsia="宋体" w:cs="宋体"/>
          <w:sz w:val="24"/>
          <w:szCs w:val="24"/>
        </w:rPr>
        <w:t>本产品除通过电源线接地导线接地外，产品外壳的接地柱必须接地。为了防止电击，接地导体必须与地面相连。在与本产品输入或输出终端连接前，应确保本产品已正确接地。</w:t>
      </w: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b/>
          <w:sz w:val="24"/>
          <w:szCs w:val="24"/>
        </w:rPr>
        <w:t>注意所有终端的额定值。</w:t>
      </w:r>
      <w:r>
        <w:rPr>
          <w:rFonts w:hint="eastAsia" w:ascii="宋体" w:hAnsi="宋体" w:eastAsia="宋体" w:cs="宋体"/>
          <w:sz w:val="24"/>
          <w:szCs w:val="24"/>
        </w:rPr>
        <w:t>为了防止火灾或电击危险，请注意本产品的所有额定值和标记。在对本产品进行连接之前，请阅读本产品使用说明书，以便进一步了解有关额定值的信息。</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210"/>
        <w:textAlignment w:val="auto"/>
        <w:outlineLvl w:val="9"/>
        <w:rPr>
          <w:rFonts w:hint="eastAsia" w:ascii="宋体" w:hAnsi="宋体" w:eastAsia="宋体" w:cs="宋体"/>
          <w:b/>
          <w:sz w:val="24"/>
          <w:szCs w:val="24"/>
        </w:rPr>
      </w:pPr>
      <w:r>
        <w:rPr>
          <w:rFonts w:hint="eastAsia" w:ascii="宋体" w:hAnsi="宋体" w:eastAsia="宋体" w:cs="宋体"/>
          <w:b/>
          <w:sz w:val="24"/>
          <w:szCs w:val="24"/>
        </w:rPr>
        <w:t>请勿在无仪器盖板时操作。</w:t>
      </w:r>
      <w:r>
        <w:rPr>
          <w:rFonts w:hint="eastAsia" w:ascii="宋体" w:hAnsi="宋体" w:eastAsia="宋体" w:cs="宋体"/>
          <w:sz w:val="24"/>
          <w:szCs w:val="24"/>
        </w:rPr>
        <w:t>如盖板或面板已卸下，请勿操作本产品。</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210"/>
        <w:textAlignment w:val="auto"/>
        <w:outlineLvl w:val="9"/>
        <w:rPr>
          <w:rFonts w:hint="eastAsia" w:ascii="宋体" w:hAnsi="宋体" w:eastAsia="宋体" w:cs="宋体"/>
          <w:sz w:val="24"/>
          <w:szCs w:val="24"/>
        </w:rPr>
      </w:pPr>
      <w:r>
        <w:rPr>
          <w:rFonts w:hint="eastAsia" w:ascii="宋体" w:hAnsi="宋体" w:eastAsia="宋体" w:cs="宋体"/>
          <w:b/>
          <w:sz w:val="24"/>
          <w:szCs w:val="24"/>
        </w:rPr>
        <w:t>使用适当的保险丝</w:t>
      </w:r>
      <w:r>
        <w:rPr>
          <w:rFonts w:hint="eastAsia" w:ascii="宋体" w:hAnsi="宋体" w:eastAsia="宋体" w:cs="宋体"/>
          <w:sz w:val="24"/>
          <w:szCs w:val="24"/>
        </w:rPr>
        <w:t>。只可使用符合本产品规定类型和额定值的保险丝。</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210"/>
        <w:textAlignment w:val="auto"/>
        <w:outlineLvl w:val="9"/>
        <w:rPr>
          <w:rFonts w:hint="eastAsia" w:ascii="宋体" w:hAnsi="宋体" w:eastAsia="宋体" w:cs="宋体"/>
          <w:sz w:val="24"/>
          <w:szCs w:val="24"/>
        </w:rPr>
      </w:pPr>
      <w:r>
        <w:rPr>
          <w:rFonts w:hint="eastAsia" w:ascii="宋体" w:hAnsi="宋体" w:eastAsia="宋体" w:cs="宋体"/>
          <w:b/>
          <w:sz w:val="24"/>
          <w:szCs w:val="24"/>
        </w:rPr>
        <w:t>避免接触裸露电路和带电金属。</w:t>
      </w:r>
      <w:r>
        <w:rPr>
          <w:rFonts w:hint="eastAsia" w:ascii="宋体" w:hAnsi="宋体" w:eastAsia="宋体" w:cs="宋体"/>
          <w:sz w:val="24"/>
          <w:szCs w:val="24"/>
        </w:rPr>
        <w:t>产品有电时，请勿触摸裸露的接点和部位。</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210"/>
        <w:textAlignment w:val="auto"/>
        <w:outlineLvl w:val="9"/>
        <w:rPr>
          <w:rFonts w:hint="eastAsia" w:ascii="宋体" w:hAnsi="宋体" w:eastAsia="宋体" w:cs="宋体"/>
          <w:sz w:val="24"/>
          <w:szCs w:val="24"/>
        </w:rPr>
      </w:pPr>
      <w:r>
        <w:rPr>
          <w:rFonts w:hint="eastAsia" w:ascii="宋体" w:hAnsi="宋体" w:eastAsia="宋体" w:cs="宋体"/>
          <w:b/>
          <w:sz w:val="24"/>
          <w:szCs w:val="24"/>
        </w:rPr>
        <w:t>在有可疑的故障时，请勿操作。</w:t>
      </w:r>
      <w:r>
        <w:rPr>
          <w:rFonts w:hint="eastAsia" w:ascii="宋体" w:hAnsi="宋体" w:eastAsia="宋体" w:cs="宋体"/>
          <w:sz w:val="24"/>
          <w:szCs w:val="24"/>
        </w:rPr>
        <w:t>如怀疑本产品有损坏，请本公司维修人员进行检查，切勿继续操作。</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210"/>
        <w:textAlignment w:val="auto"/>
        <w:outlineLvl w:val="9"/>
        <w:rPr>
          <w:rFonts w:hint="eastAsia" w:ascii="宋体" w:hAnsi="宋体" w:eastAsia="宋体" w:cs="宋体"/>
          <w:b/>
          <w:sz w:val="24"/>
          <w:szCs w:val="24"/>
        </w:rPr>
      </w:pPr>
      <w:r>
        <w:rPr>
          <w:rFonts w:hint="eastAsia" w:ascii="宋体" w:hAnsi="宋体" w:eastAsia="宋体" w:cs="宋体"/>
          <w:b/>
          <w:sz w:val="24"/>
          <w:szCs w:val="24"/>
        </w:rPr>
        <w:t>请勿在潮湿环境下操作。</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210"/>
        <w:textAlignment w:val="auto"/>
        <w:outlineLvl w:val="9"/>
        <w:rPr>
          <w:rFonts w:hint="eastAsia" w:ascii="宋体" w:hAnsi="宋体" w:eastAsia="宋体" w:cs="宋体"/>
          <w:b/>
          <w:sz w:val="24"/>
          <w:szCs w:val="24"/>
        </w:rPr>
      </w:pPr>
      <w:r>
        <w:rPr>
          <w:rFonts w:hint="eastAsia" w:ascii="宋体" w:hAnsi="宋体" w:eastAsia="宋体" w:cs="宋体"/>
          <w:b/>
          <w:sz w:val="24"/>
          <w:szCs w:val="24"/>
        </w:rPr>
        <w:t>请勿在易爆环境中操作。</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210"/>
        <w:textAlignment w:val="auto"/>
        <w:outlineLvl w:val="9"/>
        <w:rPr>
          <w:rFonts w:hint="eastAsia" w:ascii="宋体" w:hAnsi="宋体" w:eastAsia="宋体" w:cs="宋体"/>
          <w:b/>
          <w:sz w:val="24"/>
          <w:szCs w:val="24"/>
        </w:rPr>
      </w:pPr>
      <w:r>
        <w:rPr>
          <w:rFonts w:hint="eastAsia" w:ascii="宋体" w:hAnsi="宋体" w:eastAsia="宋体" w:cs="宋体"/>
          <w:b/>
          <w:sz w:val="24"/>
          <w:szCs w:val="24"/>
        </w:rPr>
        <w:t>保持产品表面清洁和干燥。</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210"/>
        <w:textAlignment w:val="auto"/>
        <w:outlineLvl w:val="9"/>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right="0" w:rightChars="0" w:firstLine="210"/>
        <w:textAlignment w:val="auto"/>
        <w:outlineLvl w:val="9"/>
        <w:rPr>
          <w:rFonts w:hint="eastAsia" w:ascii="宋体" w:hAnsi="宋体" w:eastAsia="宋体" w:cs="宋体"/>
          <w:b/>
          <w:sz w:val="24"/>
          <w:szCs w:val="24"/>
        </w:rPr>
      </w:pPr>
      <w:r>
        <w:rPr>
          <w:rFonts w:hint="eastAsia" w:ascii="宋体" w:hAnsi="宋体" w:eastAsia="宋体" w:cs="宋体"/>
          <w:b/>
          <w:sz w:val="24"/>
          <w:szCs w:val="24"/>
        </w:rPr>
        <w:t>－安全术语</w:t>
      </w: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32385</wp:posOffset>
                </wp:positionV>
                <wp:extent cx="4000500" cy="0"/>
                <wp:effectExtent l="0" t="0" r="0" b="0"/>
                <wp:wrapNone/>
                <wp:docPr id="45" name="Line 4"/>
                <wp:cNvGraphicFramePr/>
                <a:graphic xmlns:a="http://schemas.openxmlformats.org/drawingml/2006/main">
                  <a:graphicData uri="http://schemas.microsoft.com/office/word/2010/wordprocessingShape">
                    <wps:wsp>
                      <wps:cNvCnPr/>
                      <wps:spPr>
                        <a:xfrm>
                          <a:off x="0" y="0"/>
                          <a:ext cx="4000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0pt;margin-top:2.55pt;height:0pt;width:315pt;z-index:251665408;mso-width-relative:page;mso-height-relative:page;" filled="f" stroked="t" coordsize="21600,21600" o:gfxdata="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a3DnG0gAAAAQBAAAPAAAAAAAAAAEAIAAAACIAAABkcnMvZG93bnJldi54bWxQSwEC&#10;FAAUAAAACACHTuJAgjsM8MEBAACMAwAADgAAAAAAAAABACAAAAAhAQAAZHJzL2Uyb0RvYy54bWxQ&#10;SwUGAAAAAAYABgBZAQAAVAUAAAAA&#10;">
                <v:fill on="f" focussize="0,0"/>
                <v:stroke color="#000000" joinstyle="round"/>
                <v:imagedata o:title=""/>
                <o:lock v:ext="edit" aspectratio="f"/>
              </v:line>
            </w:pict>
          </mc:Fallback>
        </mc:AlternateContent>
      </w:r>
      <w:r>
        <w:rPr>
          <w:rFonts w:hint="eastAsia" w:ascii="宋体" w:hAnsi="宋体" w:eastAsia="宋体" w:cs="宋体"/>
          <w:sz w:val="24"/>
          <w:szCs w:val="24"/>
        </w:rPr>
        <w:t>警告：警告字句指出可能造成人身伤亡的状况或做法。</w:t>
      </w: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4000500" cy="0"/>
                <wp:effectExtent l="0" t="0" r="0" b="0"/>
                <wp:wrapNone/>
                <wp:docPr id="43" name="Line 5"/>
                <wp:cNvGraphicFramePr/>
                <a:graphic xmlns:a="http://schemas.openxmlformats.org/drawingml/2006/main">
                  <a:graphicData uri="http://schemas.microsoft.com/office/word/2010/wordprocessingShape">
                    <wps:wsp>
                      <wps:cNvCnPr/>
                      <wps:spPr>
                        <a:xfrm>
                          <a:off x="0" y="0"/>
                          <a:ext cx="4000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margin-left:0pt;margin-top:0pt;height:0pt;width:315pt;z-index:251666432;mso-width-relative:page;mso-height-relative:page;" filled="f" stroked="t" coordsize="21600,21600" o:gfxdata="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SseHO0QAAAAIBAAAPAAAAAAAAAAEAIAAAACIAAABkcnMvZG93bnJldi54bWxQSwEC&#10;FAAUAAAACACHTuJA0o/5tcIBAACMAwAADgAAAAAAAAABACAAAAAgAQAAZHJzL2Uyb0RvYy54bWxQ&#10;SwUGAAAAAAYABgBZAQAAVAU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0</wp:posOffset>
                </wp:positionV>
                <wp:extent cx="5238750" cy="24765"/>
                <wp:effectExtent l="0" t="4445" r="0" b="8890"/>
                <wp:wrapNone/>
                <wp:docPr id="44" name="Line 6"/>
                <wp:cNvGraphicFramePr/>
                <a:graphic xmlns:a="http://schemas.openxmlformats.org/drawingml/2006/main">
                  <a:graphicData uri="http://schemas.microsoft.com/office/word/2010/wordprocessingShape">
                    <wps:wsp>
                      <wps:cNvCnPr/>
                      <wps:spPr>
                        <a:xfrm flipV="1">
                          <a:off x="0" y="0"/>
                          <a:ext cx="5238750" cy="2476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Line 6" o:spid="_x0000_s1026" o:spt="20" style="position:absolute;left:0pt;flip:y;margin-left:1.5pt;margin-top:0pt;height:1.95pt;width:412.5pt;z-index:251667456;mso-width-relative:page;mso-height-relative:page;" filled="f" stroked="t" coordsize="21600,21600" o:gfxdata="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REF6OdIAAAAEAQAADwAAAAAAAAABACAAAAAiAAAAZHJzL2Rvd25y&#10;ZXYueG1sUEsBAhQAFAAAAAgAh07iQJXWy1rLAQAAmgMAAA4AAAAAAAAAAQAgAAAAIQEAAGRycy9l&#10;Mm9Eb2MueG1sUEsFBgAAAAAGAAYAWQEAAF4FAAAAAA==&#10;">
                <v:fill on="f" focussize="0,0"/>
                <v:stroke weight="0.25pt" color="#000000" joinstyle="round"/>
                <v:imagedata o:title=""/>
                <o:lock v:ext="edit" aspectratio="f"/>
              </v:line>
            </w:pict>
          </mc:Fallback>
        </mc:AlternateContent>
      </w:r>
      <w:r>
        <w:rPr>
          <w:rFonts w:hint="eastAsia" w:ascii="宋体" w:hAnsi="宋体" w:eastAsia="宋体" w:cs="宋体"/>
          <w:sz w:val="24"/>
          <w:szCs w:val="24"/>
          <w:u w:val="single"/>
        </w:rPr>
        <w:t>小心：小心字句指出可能造成本产品或其它财产损坏的状况或做法。</w:t>
      </w:r>
    </w:p>
    <w:p>
      <w:pPr>
        <w:keepNext w:val="0"/>
        <w:keepLines w:val="0"/>
        <w:pageBreakBefore w:val="0"/>
        <w:widowControl w:val="0"/>
        <w:kinsoku/>
        <w:wordWrap/>
        <w:overflowPunct/>
        <w:topLinePunct w:val="0"/>
        <w:autoSpaceDE/>
        <w:autoSpaceDN/>
        <w:bidi w:val="0"/>
        <w:adjustRightInd/>
        <w:snapToGrid/>
        <w:spacing w:line="480" w:lineRule="auto"/>
        <w:ind w:right="0" w:rightChars="0"/>
        <w:jc w:val="both"/>
        <w:textAlignment w:val="auto"/>
        <w:outlineLvl w:val="9"/>
        <w:rPr>
          <w:rFonts w:hint="eastAsia" w:ascii="宋体" w:hAnsi="宋体" w:eastAsia="宋体" w:cs="宋体"/>
          <w:b/>
          <w:bCs/>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right="0" w:rightChars="0"/>
        <w:jc w:val="center"/>
        <w:textAlignment w:val="auto"/>
        <w:outlineLvl w:val="9"/>
        <w:rPr>
          <w:rFonts w:hint="eastAsia" w:ascii="宋体" w:hAnsi="宋体" w:eastAsia="宋体" w:cs="宋体"/>
          <w:b/>
          <w:bCs/>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color w:val="000000"/>
          <w:kern w:val="0"/>
          <w:sz w:val="24"/>
          <w:szCs w:val="24"/>
        </w:rPr>
      </w:pPr>
    </w:p>
    <w:p>
      <w:pPr>
        <w:jc w:val="center"/>
        <w:rPr>
          <w:rFonts w:hint="eastAsia" w:ascii="宋体" w:cs="宋体"/>
          <w:b/>
          <w:bCs/>
          <w:color w:val="000000"/>
          <w:kern w:val="0"/>
          <w:sz w:val="24"/>
        </w:rPr>
      </w:pPr>
    </w:p>
    <w:p>
      <w:pPr>
        <w:jc w:val="center"/>
        <w:rPr>
          <w:rFonts w:hint="eastAsia" w:ascii="宋体" w:cs="宋体"/>
          <w:b/>
          <w:bCs/>
          <w:color w:val="000000"/>
          <w:kern w:val="0"/>
          <w:sz w:val="24"/>
        </w:rPr>
      </w:pPr>
    </w:p>
    <w:p>
      <w:pPr>
        <w:jc w:val="center"/>
        <w:rPr>
          <w:rFonts w:hint="eastAsia" w:ascii="宋体" w:cs="宋体"/>
          <w:b/>
          <w:bCs/>
          <w:color w:val="000000"/>
          <w:kern w:val="0"/>
          <w:sz w:val="24"/>
        </w:rPr>
      </w:pPr>
    </w:p>
    <w:p>
      <w:pPr>
        <w:jc w:val="center"/>
        <w:rPr>
          <w:rFonts w:hint="eastAsia" w:ascii="宋体" w:cs="宋体"/>
          <w:b/>
          <w:bCs/>
          <w:color w:val="000000"/>
          <w:kern w:val="0"/>
          <w:sz w:val="24"/>
        </w:rPr>
      </w:pPr>
    </w:p>
    <w:p>
      <w:pPr>
        <w:jc w:val="center"/>
        <w:rPr>
          <w:rFonts w:hint="eastAsia" w:ascii="宋体" w:cs="宋体"/>
          <w:b/>
          <w:bCs/>
          <w:color w:val="000000"/>
          <w:kern w:val="0"/>
          <w:sz w:val="24"/>
        </w:rPr>
      </w:pPr>
    </w:p>
    <w:p>
      <w:pPr>
        <w:jc w:val="center"/>
        <w:rPr>
          <w:rFonts w:hint="eastAsia" w:ascii="宋体" w:cs="宋体"/>
          <w:b/>
          <w:bCs/>
          <w:color w:val="000000"/>
          <w:kern w:val="0"/>
          <w:sz w:val="24"/>
        </w:rPr>
      </w:pPr>
    </w:p>
    <w:p>
      <w:pPr>
        <w:jc w:val="center"/>
        <w:rPr>
          <w:rFonts w:hint="eastAsia" w:ascii="宋体" w:cs="宋体"/>
          <w:b/>
          <w:bCs/>
          <w:color w:val="000000"/>
          <w:kern w:val="0"/>
          <w:sz w:val="24"/>
        </w:rPr>
      </w:pPr>
    </w:p>
    <w:p>
      <w:pPr>
        <w:jc w:val="center"/>
        <w:rPr>
          <w:rFonts w:hint="eastAsia" w:ascii="宋体" w:cs="宋体"/>
          <w:b/>
          <w:bCs/>
          <w:color w:val="000000"/>
          <w:kern w:val="0"/>
          <w:sz w:val="24"/>
        </w:rPr>
      </w:pPr>
    </w:p>
    <w:p>
      <w:pPr>
        <w:jc w:val="center"/>
        <w:rPr>
          <w:rFonts w:hint="eastAsia" w:ascii="宋体" w:cs="宋体"/>
          <w:b/>
          <w:bCs/>
          <w:color w:val="000000"/>
          <w:kern w:val="0"/>
          <w:sz w:val="24"/>
        </w:rPr>
      </w:pPr>
    </w:p>
    <w:p>
      <w:pPr>
        <w:jc w:val="center"/>
        <w:rPr>
          <w:rFonts w:hint="eastAsia" w:ascii="宋体" w:cs="宋体"/>
          <w:b/>
          <w:bCs/>
          <w:color w:val="000000"/>
          <w:kern w:val="0"/>
          <w:sz w:val="24"/>
        </w:rPr>
      </w:pPr>
    </w:p>
    <w:p>
      <w:pPr>
        <w:jc w:val="center"/>
        <w:rPr>
          <w:rFonts w:hint="eastAsia" w:ascii="宋体" w:cs="宋体"/>
          <w:b/>
          <w:bCs/>
          <w:color w:val="000000"/>
          <w:kern w:val="0"/>
          <w:sz w:val="24"/>
        </w:rPr>
      </w:pPr>
    </w:p>
    <w:p>
      <w:pPr>
        <w:jc w:val="center"/>
        <w:rPr>
          <w:rFonts w:hint="eastAsia" w:ascii="宋体" w:cs="宋体"/>
          <w:b/>
          <w:bCs/>
          <w:color w:val="000000"/>
          <w:kern w:val="0"/>
          <w:sz w:val="24"/>
        </w:rPr>
      </w:pPr>
    </w:p>
    <w:p>
      <w:pPr>
        <w:jc w:val="center"/>
        <w:rPr>
          <w:rFonts w:hint="eastAsia" w:ascii="宋体" w:cs="宋体"/>
          <w:b/>
          <w:bCs/>
          <w:color w:val="000000"/>
          <w:kern w:val="0"/>
          <w:sz w:val="24"/>
        </w:rPr>
      </w:pPr>
    </w:p>
    <w:p>
      <w:pPr>
        <w:jc w:val="center"/>
        <w:rPr>
          <w:rFonts w:hint="eastAsia" w:ascii="宋体" w:cs="宋体"/>
          <w:b/>
          <w:bCs/>
          <w:color w:val="000000"/>
          <w:kern w:val="0"/>
          <w:sz w:val="24"/>
        </w:rPr>
      </w:pPr>
    </w:p>
    <w:p>
      <w:pPr>
        <w:jc w:val="center"/>
        <w:rPr>
          <w:rFonts w:hint="eastAsia" w:ascii="宋体" w:cs="宋体"/>
          <w:b/>
          <w:bCs/>
          <w:color w:val="000000"/>
          <w:kern w:val="0"/>
          <w:sz w:val="24"/>
        </w:rPr>
      </w:pPr>
    </w:p>
    <w:p>
      <w:pPr>
        <w:jc w:val="center"/>
        <w:rPr>
          <w:rFonts w:hint="eastAsia" w:ascii="宋体" w:cs="宋体"/>
          <w:b/>
          <w:bCs/>
          <w:color w:val="000000"/>
          <w:kern w:val="0"/>
          <w:sz w:val="24"/>
        </w:rPr>
      </w:pPr>
    </w:p>
    <w:p>
      <w:pPr>
        <w:jc w:val="center"/>
        <w:rPr>
          <w:rFonts w:hint="eastAsia" w:ascii="宋体" w:cs="宋体"/>
          <w:b/>
          <w:bCs/>
          <w:color w:val="000000"/>
          <w:kern w:val="0"/>
          <w:sz w:val="24"/>
        </w:rPr>
      </w:pP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720" w:lineRule="auto"/>
        <w:ind w:right="0" w:rightChars="0"/>
        <w:jc w:val="center"/>
        <w:textAlignment w:val="auto"/>
        <w:outlineLvl w:val="9"/>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目录</w:t>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720" w:lineRule="auto"/>
        <w:ind w:left="0" w:leftChars="0" w:right="0" w:rightChars="0" w:firstLine="0" w:firstLineChars="0"/>
        <w:textAlignment w:val="auto"/>
        <w:outlineLvl w:val="9"/>
        <w:rPr>
          <w:rFonts w:hint="eastAsia" w:ascii="宋体" w:hAnsi="宋体" w:eastAsia="宋体" w:cs="宋体"/>
          <w:bCs/>
          <w:color w:val="000000"/>
          <w:kern w:val="0"/>
          <w:sz w:val="24"/>
          <w:szCs w:val="24"/>
        </w:rPr>
      </w:pPr>
      <w:r>
        <w:rPr>
          <w:rFonts w:hint="eastAsia" w:ascii="宋体" w:hAnsi="宋体" w:eastAsia="宋体" w:cs="宋体"/>
          <w:b/>
          <w:bCs/>
          <w:color w:val="000000"/>
          <w:kern w:val="0"/>
          <w:sz w:val="24"/>
          <w:szCs w:val="24"/>
        </w:rPr>
        <w:fldChar w:fldCharType="begin"/>
      </w:r>
      <w:r>
        <w:rPr>
          <w:rFonts w:hint="eastAsia" w:ascii="宋体" w:hAnsi="宋体" w:eastAsia="宋体" w:cs="宋体"/>
          <w:b/>
          <w:bCs/>
          <w:color w:val="000000"/>
          <w:kern w:val="0"/>
          <w:sz w:val="24"/>
          <w:szCs w:val="24"/>
        </w:rPr>
        <w:instrText xml:space="preserve">TOC \o "1-3" \h \u </w:instrText>
      </w:r>
      <w:r>
        <w:rPr>
          <w:rFonts w:hint="eastAsia" w:ascii="宋体" w:hAnsi="宋体" w:eastAsia="宋体" w:cs="宋体"/>
          <w:b/>
          <w:bCs/>
          <w:color w:val="000000"/>
          <w:kern w:val="0"/>
          <w:sz w:val="24"/>
          <w:szCs w:val="24"/>
        </w:rPr>
        <w:fldChar w:fldCharType="separate"/>
      </w:r>
      <w:r>
        <w:rPr>
          <w:rFonts w:hint="eastAsia" w:ascii="宋体" w:hAnsi="宋体" w:eastAsia="宋体" w:cs="宋体"/>
          <w:bCs/>
          <w:color w:val="000000"/>
          <w:kern w:val="0"/>
          <w:sz w:val="24"/>
          <w:szCs w:val="24"/>
        </w:rPr>
        <w:fldChar w:fldCharType="begin"/>
      </w:r>
      <w:r>
        <w:rPr>
          <w:rFonts w:hint="eastAsia" w:ascii="宋体" w:hAnsi="宋体" w:eastAsia="宋体" w:cs="宋体"/>
          <w:bCs/>
          <w:kern w:val="0"/>
          <w:sz w:val="24"/>
          <w:szCs w:val="24"/>
        </w:rPr>
        <w:instrText xml:space="preserve"> HYPERLINK \l _Toc27788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一</w:t>
      </w:r>
      <w:bookmarkStart w:id="5" w:name="_GoBack"/>
      <w:bookmarkEnd w:id="5"/>
      <w:r>
        <w:rPr>
          <w:rFonts w:hint="eastAsia" w:ascii="宋体" w:hAnsi="宋体" w:eastAsia="宋体" w:cs="宋体"/>
          <w:bCs/>
          <w:sz w:val="24"/>
          <w:szCs w:val="24"/>
        </w:rPr>
        <w:t>、概述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_Toc27788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00"/>
          <w:kern w:val="0"/>
          <w:sz w:val="24"/>
          <w:szCs w:val="24"/>
        </w:rPr>
        <w:fldChar w:fldCharType="end"/>
      </w:r>
    </w:p>
    <w:p>
      <w:pPr>
        <w:rPr>
          <w:rFonts w:hint="eastAsia"/>
        </w:rPr>
      </w:pP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720" w:lineRule="auto"/>
        <w:ind w:left="0" w:leftChars="0" w:right="0" w:rightChars="0" w:firstLine="0" w:firstLineChars="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fldChar w:fldCharType="begin"/>
      </w:r>
      <w:r>
        <w:rPr>
          <w:rFonts w:hint="eastAsia" w:ascii="宋体" w:hAnsi="宋体" w:eastAsia="宋体" w:cs="宋体"/>
          <w:bCs/>
          <w:kern w:val="0"/>
          <w:sz w:val="24"/>
          <w:szCs w:val="24"/>
        </w:rPr>
        <w:instrText xml:space="preserve"> HYPERLINK \l _Toc31213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二、技术参数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_Toc31213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00"/>
          <w:kern w:val="0"/>
          <w:sz w:val="24"/>
          <w:szCs w:val="24"/>
        </w:rPr>
        <w:fldChar w:fldCharType="end"/>
      </w:r>
    </w:p>
    <w:p>
      <w:pPr>
        <w:rPr>
          <w:rFonts w:hint="eastAsia"/>
        </w:rPr>
      </w:pP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720" w:lineRule="auto"/>
        <w:ind w:left="0" w:leftChars="0" w:right="0" w:rightChars="0" w:firstLine="0" w:firstLineChars="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fldChar w:fldCharType="begin"/>
      </w:r>
      <w:r>
        <w:rPr>
          <w:rFonts w:hint="eastAsia" w:ascii="宋体" w:hAnsi="宋体" w:eastAsia="宋体" w:cs="宋体"/>
          <w:bCs/>
          <w:kern w:val="0"/>
          <w:sz w:val="24"/>
          <w:szCs w:val="24"/>
        </w:rPr>
        <w:instrText xml:space="preserve"> HYPERLINK \l _Toc24238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三、使用方法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_Toc24238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00"/>
          <w:kern w:val="0"/>
          <w:sz w:val="24"/>
          <w:szCs w:val="24"/>
        </w:rPr>
        <w:fldChar w:fldCharType="end"/>
      </w:r>
    </w:p>
    <w:p>
      <w:pPr>
        <w:rPr>
          <w:rFonts w:hint="eastAsia"/>
        </w:rPr>
      </w:pP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720" w:lineRule="auto"/>
        <w:ind w:left="0" w:leftChars="0" w:right="0" w:rightChars="0" w:firstLine="0" w:firstLineChars="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fldChar w:fldCharType="begin"/>
      </w:r>
      <w:r>
        <w:rPr>
          <w:rFonts w:hint="eastAsia" w:ascii="宋体" w:hAnsi="宋体" w:eastAsia="宋体" w:cs="宋体"/>
          <w:bCs/>
          <w:kern w:val="0"/>
          <w:sz w:val="24"/>
          <w:szCs w:val="24"/>
        </w:rPr>
        <w:instrText xml:space="preserve"> HYPERLINK \l _Toc17267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四、注意事项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_Toc17267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color w:val="000000"/>
          <w:kern w:val="0"/>
          <w:sz w:val="24"/>
          <w:szCs w:val="24"/>
        </w:rPr>
        <w:fldChar w:fldCharType="end"/>
      </w:r>
    </w:p>
    <w:p>
      <w:pPr>
        <w:rPr>
          <w:rFonts w:hint="eastAsia"/>
        </w:rPr>
      </w:pP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72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bCs/>
          <w:color w:val="000000"/>
          <w:kern w:val="0"/>
          <w:sz w:val="24"/>
          <w:szCs w:val="24"/>
        </w:rPr>
        <w:fldChar w:fldCharType="begin"/>
      </w:r>
      <w:r>
        <w:rPr>
          <w:rFonts w:hint="eastAsia" w:ascii="宋体" w:hAnsi="宋体" w:eastAsia="宋体" w:cs="宋体"/>
          <w:bCs/>
          <w:kern w:val="0"/>
          <w:sz w:val="24"/>
          <w:szCs w:val="24"/>
        </w:rPr>
        <w:instrText xml:space="preserve"> HYPERLINK \l _Toc28410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五、仪器成套性</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_Toc28410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color w:val="000000"/>
          <w:kern w:val="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ascii="宋体" w:cs="宋体"/>
          <w:b/>
          <w:bCs/>
          <w:color w:val="000000"/>
          <w:kern w:val="0"/>
          <w:sz w:val="24"/>
        </w:rPr>
      </w:pPr>
      <w:r>
        <w:rPr>
          <w:rFonts w:hint="eastAsia" w:ascii="宋体" w:hAnsi="宋体" w:eastAsia="宋体" w:cs="宋体"/>
          <w:bCs/>
          <w:color w:val="000000"/>
          <w:kern w:val="0"/>
          <w:sz w:val="24"/>
          <w:szCs w:val="24"/>
        </w:rPr>
        <w:fldChar w:fldCharType="end"/>
      </w:r>
    </w:p>
    <w:p>
      <w:pPr>
        <w:jc w:val="center"/>
        <w:rPr>
          <w:rFonts w:hint="eastAsia" w:ascii="宋体" w:cs="宋体"/>
          <w:b/>
          <w:bCs/>
          <w:color w:val="000000"/>
          <w:kern w:val="0"/>
          <w:sz w:val="24"/>
        </w:rPr>
      </w:pPr>
    </w:p>
    <w:p>
      <w:pPr>
        <w:jc w:val="center"/>
        <w:rPr>
          <w:rFonts w:hint="eastAsia" w:ascii="宋体" w:cs="宋体"/>
          <w:b/>
          <w:bCs/>
          <w:color w:val="000000"/>
          <w:kern w:val="0"/>
          <w:sz w:val="24"/>
        </w:rPr>
      </w:pPr>
    </w:p>
    <w:p>
      <w:pPr>
        <w:jc w:val="center"/>
        <w:rPr>
          <w:rFonts w:hint="eastAsia" w:ascii="宋体" w:cs="宋体"/>
          <w:b/>
          <w:bCs/>
          <w:color w:val="000000"/>
          <w:kern w:val="0"/>
          <w:sz w:val="24"/>
        </w:rPr>
      </w:pPr>
    </w:p>
    <w:p>
      <w:pPr>
        <w:jc w:val="center"/>
        <w:rPr>
          <w:rFonts w:hint="eastAsia" w:ascii="宋体" w:cs="宋体"/>
          <w:b/>
          <w:bCs/>
          <w:color w:val="000000"/>
          <w:kern w:val="0"/>
          <w:sz w:val="24"/>
        </w:rPr>
      </w:pPr>
    </w:p>
    <w:p>
      <w:pPr>
        <w:jc w:val="center"/>
        <w:rPr>
          <w:rFonts w:hint="eastAsia" w:ascii="宋体" w:cs="宋体"/>
          <w:b/>
          <w:bCs/>
          <w:color w:val="000000"/>
          <w:kern w:val="0"/>
          <w:sz w:val="24"/>
        </w:rPr>
      </w:pPr>
    </w:p>
    <w:p>
      <w:pPr>
        <w:jc w:val="center"/>
        <w:rPr>
          <w:rFonts w:hint="eastAsia" w:ascii="宋体" w:cs="宋体"/>
          <w:b/>
          <w:bCs/>
          <w:color w:val="000000"/>
          <w:kern w:val="0"/>
          <w:sz w:val="24"/>
        </w:rPr>
      </w:pPr>
    </w:p>
    <w:p>
      <w:pPr>
        <w:jc w:val="center"/>
        <w:rPr>
          <w:rFonts w:hint="eastAsia" w:ascii="宋体" w:cs="宋体"/>
          <w:b/>
          <w:bCs/>
          <w:color w:val="000000"/>
          <w:kern w:val="0"/>
          <w:sz w:val="24"/>
        </w:rPr>
      </w:pPr>
    </w:p>
    <w:p>
      <w:pPr>
        <w:jc w:val="center"/>
        <w:rPr>
          <w:rFonts w:hint="eastAsia" w:ascii="宋体" w:cs="宋体"/>
          <w:b/>
          <w:bCs/>
          <w:color w:val="000000"/>
          <w:kern w:val="0"/>
          <w:sz w:val="24"/>
        </w:rPr>
      </w:pPr>
    </w:p>
    <w:p>
      <w:pPr>
        <w:jc w:val="center"/>
        <w:rPr>
          <w:rFonts w:hint="eastAsia" w:ascii="宋体" w:cs="宋体"/>
          <w:b/>
          <w:bCs/>
          <w:color w:val="000000"/>
          <w:kern w:val="0"/>
          <w:sz w:val="24"/>
        </w:rPr>
      </w:pPr>
    </w:p>
    <w:p>
      <w:pPr>
        <w:jc w:val="center"/>
        <w:rPr>
          <w:rFonts w:hint="eastAsia" w:ascii="宋体" w:cs="宋体"/>
          <w:b/>
          <w:bCs/>
          <w:color w:val="000000"/>
          <w:kern w:val="0"/>
          <w:sz w:val="24"/>
        </w:rPr>
      </w:pPr>
    </w:p>
    <w:p>
      <w:pPr>
        <w:jc w:val="center"/>
        <w:rPr>
          <w:rFonts w:hint="eastAsia" w:ascii="宋体" w:cs="宋体"/>
          <w:b/>
          <w:bCs/>
          <w:color w:val="000000"/>
          <w:kern w:val="0"/>
          <w:sz w:val="24"/>
        </w:rPr>
      </w:pPr>
    </w:p>
    <w:p>
      <w:pPr>
        <w:jc w:val="center"/>
        <w:rPr>
          <w:rFonts w:hint="eastAsia" w:ascii="宋体" w:cs="宋体"/>
          <w:b/>
          <w:bCs/>
          <w:color w:val="000000"/>
          <w:kern w:val="0"/>
          <w:sz w:val="24"/>
        </w:rPr>
      </w:pPr>
    </w:p>
    <w:p>
      <w:pPr>
        <w:jc w:val="center"/>
        <w:rPr>
          <w:rFonts w:hint="eastAsia" w:ascii="宋体" w:cs="宋体"/>
          <w:b/>
          <w:bCs/>
          <w:color w:val="000000"/>
          <w:kern w:val="0"/>
          <w:sz w:val="24"/>
        </w:rPr>
      </w:pPr>
    </w:p>
    <w:p>
      <w:pPr>
        <w:jc w:val="center"/>
        <w:rPr>
          <w:rFonts w:hint="eastAsia" w:ascii="宋体" w:cs="宋体"/>
          <w:b/>
          <w:bCs/>
          <w:color w:val="000000"/>
          <w:kern w:val="0"/>
          <w:sz w:val="24"/>
        </w:rPr>
      </w:pPr>
    </w:p>
    <w:p>
      <w:pPr>
        <w:jc w:val="center"/>
        <w:rPr>
          <w:rFonts w:hint="eastAsia" w:ascii="宋体" w:cs="宋体"/>
          <w:b/>
          <w:bCs/>
          <w:color w:val="000000"/>
          <w:kern w:val="0"/>
          <w:sz w:val="24"/>
        </w:rPr>
      </w:pPr>
    </w:p>
    <w:p>
      <w:pPr>
        <w:jc w:val="center"/>
        <w:rPr>
          <w:rFonts w:hint="eastAsia" w:ascii="宋体" w:cs="宋体"/>
          <w:b/>
          <w:bCs/>
          <w:color w:val="000000"/>
          <w:kern w:val="0"/>
          <w:sz w:val="24"/>
        </w:rPr>
      </w:pPr>
    </w:p>
    <w:p>
      <w:pPr>
        <w:jc w:val="center"/>
        <w:rPr>
          <w:rFonts w:hint="eastAsia" w:ascii="宋体" w:cs="宋体"/>
          <w:b/>
          <w:bCs/>
          <w:color w:val="000000"/>
          <w:kern w:val="0"/>
          <w:sz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0"/>
        <w:rPr>
          <w:rFonts w:hint="eastAsia" w:ascii="宋体" w:hAnsi="宋体" w:eastAsia="宋体" w:cs="宋体"/>
          <w:b/>
          <w:bCs/>
          <w:sz w:val="24"/>
          <w:szCs w:val="24"/>
        </w:rPr>
      </w:pPr>
      <w:bookmarkStart w:id="0" w:name="_Toc27788"/>
      <w:r>
        <w:rPr>
          <w:rFonts w:hint="eastAsia" w:ascii="宋体" w:hAnsi="宋体" w:eastAsia="宋体" w:cs="宋体"/>
          <w:b/>
          <w:bCs/>
          <w:sz w:val="24"/>
          <w:szCs w:val="24"/>
        </w:rPr>
        <w:t>一、概述</w:t>
      </w:r>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YTC8106系列交</w:t>
      </w:r>
      <w:r>
        <w:rPr>
          <w:rFonts w:hint="eastAsia" w:ascii="宋体" w:hAnsi="宋体" w:eastAsia="宋体" w:cs="宋体"/>
          <w:sz w:val="24"/>
          <w:szCs w:val="24"/>
          <w:lang w:eastAsia="zh-CN"/>
        </w:rPr>
        <w:t>直</w:t>
      </w:r>
      <w:r>
        <w:rPr>
          <w:rFonts w:hint="eastAsia" w:ascii="宋体" w:hAnsi="宋体" w:eastAsia="宋体" w:cs="宋体"/>
          <w:sz w:val="24"/>
          <w:szCs w:val="24"/>
        </w:rPr>
        <w:t>流分压器是阻容等电位屏蔽分压式高压测量装置。主要用于脉冲高压,雷电高压,工频高压的测量。是代替高压静电电压表的首选。具有操作简便，显示直观，精度高、体积小、重量轻等特点，适应于发电厂、变电站、高压电器设备制造厂和高电压试验室等部门作为高电压测量之理想装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本交流分压器通过仪表线与高压测量端相连，可实现远距离清晰读数,使用安全、方便。该系列交流分压器输入阻抗高，线性度好，采用特殊的屏蔽技术，减少高压对示值的影响，从而实现高稳定度，高线性度。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采用进口填充材料，使结构更小，重量更轻，可靠性更高，内部局部放电量降到最低。体积小，重量轻，便于携带，为现场工地的检测工作带来极大的便利。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0"/>
        <w:rPr>
          <w:rFonts w:hint="eastAsia" w:ascii="宋体" w:hAnsi="宋体" w:eastAsia="宋体" w:cs="宋体"/>
          <w:b/>
          <w:bCs/>
          <w:sz w:val="24"/>
          <w:szCs w:val="24"/>
        </w:rPr>
      </w:pPr>
      <w:bookmarkStart w:id="1" w:name="_Toc31213"/>
      <w:r>
        <w:rPr>
          <w:rFonts w:hint="eastAsia" w:ascii="宋体" w:hAnsi="宋体" w:eastAsia="宋体" w:cs="宋体"/>
          <w:b/>
          <w:bCs/>
          <w:sz w:val="24"/>
          <w:szCs w:val="24"/>
        </w:rPr>
        <w:t>二、技术参数</w:t>
      </w:r>
      <w:bookmarkEnd w:id="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 压 等级：AC:100kV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交流测量方式：真有效值测量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精       度： AC:1.0%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绝 缘 介 质：干式介质材料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环 境 条 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温  度：-25～40℃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湿  度：&lt;85%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分压比：1000:1</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重  量: 7kg</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体  积: 170×170×720毫米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0"/>
        <w:rPr>
          <w:rFonts w:hint="eastAsia" w:ascii="宋体" w:hAnsi="宋体" w:eastAsia="宋体" w:cs="宋体"/>
          <w:b/>
          <w:bCs/>
          <w:sz w:val="24"/>
          <w:szCs w:val="24"/>
        </w:rPr>
      </w:pPr>
      <w:bookmarkStart w:id="2" w:name="_Toc24238"/>
      <w:r>
        <w:rPr>
          <w:rFonts w:hint="eastAsia" w:ascii="宋体" w:hAnsi="宋体" w:eastAsia="宋体" w:cs="宋体"/>
          <w:b/>
          <w:bCs/>
          <w:sz w:val="24"/>
          <w:szCs w:val="24"/>
        </w:rPr>
        <w:t>三、使用方法</w:t>
      </w:r>
      <w:bookmarkEnd w:id="2"/>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1．将交流分压器接地端安全接地。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2．将高压线接在均压球上方，用接线螺旋栓将高压线拧紧。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3．将仪表底座上的输入端插入数字高压表测量端,测量交流时将钮子开关切换到“AC”档。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4．所测电压为小于20kV时选择“LOW”档，当超过20kV时请选择“HIGH”档，从而获取更高精度的测试值。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5．打开“Power”开关，选择合适档位，此时数字高压表上将显示“0.00”或“00.0”,此时即可开始测量。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6．待测试完毕后，切断高压，等交流分压器上读数为“0.00” 或“00.0”时方才进入现场（交流试验时，仪表会缓慢回零，但高压电源已经没有电了，故在这种情况下请注意交流和直流试验的区别）。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7．在使用和保养中，均应注意分压器表面的清洁，防止污秽，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此仪器应置于干燥处，妥善保管。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0"/>
        <w:rPr>
          <w:rFonts w:hint="eastAsia" w:ascii="宋体" w:hAnsi="宋体" w:eastAsia="宋体" w:cs="宋体"/>
          <w:b/>
          <w:bCs/>
          <w:sz w:val="24"/>
          <w:szCs w:val="24"/>
        </w:rPr>
      </w:pPr>
      <w:bookmarkStart w:id="3" w:name="_Toc17267"/>
      <w:r>
        <w:rPr>
          <w:rFonts w:hint="eastAsia" w:ascii="宋体" w:hAnsi="宋体" w:eastAsia="宋体" w:cs="宋体"/>
          <w:b/>
          <w:bCs/>
          <w:sz w:val="24"/>
          <w:szCs w:val="24"/>
        </w:rPr>
        <w:t>四、注意事项</w:t>
      </w:r>
      <w:bookmarkEnd w:id="3"/>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1、使用中，50kV以下分压器周围2米内不得有杂物，（150kV-200kV分压器为3米，300kV分压器为4米）仪表与分压器、人员应按照电力行业标准中数字高压表的操作规程来确定距离，我公司建议至少保持在5-6米的安全操作距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坚持轻拿轻放原则，切不可碰撞，挤压等。的检测工作带来极大的便利。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宋体" w:hAnsi="宋体" w:eastAsia="宋体" w:cs="宋体"/>
          <w:spacing w:val="20"/>
          <w:sz w:val="24"/>
          <w:szCs w:val="24"/>
        </w:rPr>
      </w:pPr>
      <w:r>
        <w:rPr>
          <w:rFonts w:hint="eastAsia" w:ascii="宋体" w:hAnsi="宋体" w:eastAsia="宋体" w:cs="宋体"/>
          <w:spacing w:val="20"/>
          <w:sz w:val="24"/>
          <w:szCs w:val="24"/>
        </w:rPr>
        <w:t>2、该</w:t>
      </w:r>
      <w:r>
        <w:rPr>
          <w:rFonts w:hint="eastAsia" w:ascii="宋体" w:hAnsi="宋体" w:eastAsia="宋体" w:cs="宋体"/>
          <w:spacing w:val="20"/>
          <w:sz w:val="24"/>
          <w:szCs w:val="24"/>
          <w:lang w:eastAsia="zh-CN"/>
        </w:rPr>
        <w:t>交流分压器</w:t>
      </w:r>
      <w:r>
        <w:rPr>
          <w:rFonts w:hint="eastAsia" w:ascii="宋体" w:hAnsi="宋体" w:eastAsia="宋体" w:cs="宋体"/>
          <w:spacing w:val="20"/>
          <w:sz w:val="24"/>
          <w:szCs w:val="24"/>
        </w:rPr>
        <w:t>应该放在干燥的空气中，使用完毕后应将放回铝合金机箱中，以免受潮。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宋体" w:hAnsi="宋体" w:eastAsia="宋体" w:cs="宋体"/>
          <w:spacing w:val="20"/>
          <w:sz w:val="24"/>
          <w:szCs w:val="24"/>
        </w:rPr>
      </w:pPr>
      <w:r>
        <w:rPr>
          <w:rFonts w:hint="eastAsia" w:ascii="宋体" w:hAnsi="宋体" w:eastAsia="宋体" w:cs="宋体"/>
          <w:spacing w:val="20"/>
          <w:sz w:val="24"/>
          <w:szCs w:val="24"/>
        </w:rPr>
        <w:t>3、当听到有较明显的放电声音时，说明</w:t>
      </w:r>
      <w:r>
        <w:rPr>
          <w:rFonts w:hint="eastAsia" w:ascii="宋体" w:hAnsi="宋体" w:eastAsia="宋体" w:cs="宋体"/>
          <w:spacing w:val="20"/>
          <w:sz w:val="24"/>
          <w:szCs w:val="24"/>
          <w:lang w:eastAsia="zh-CN"/>
        </w:rPr>
        <w:t>交流分压器</w:t>
      </w:r>
      <w:r>
        <w:rPr>
          <w:rFonts w:hint="eastAsia" w:ascii="宋体" w:hAnsi="宋体" w:eastAsia="宋体" w:cs="宋体"/>
          <w:spacing w:val="20"/>
          <w:sz w:val="24"/>
          <w:szCs w:val="24"/>
        </w:rPr>
        <w:t>可能受潮了，应该有干燥吹风机至上而下吹1-2分钟。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宋体" w:hAnsi="宋体" w:eastAsia="宋体" w:cs="宋体"/>
          <w:b/>
          <w:spacing w:val="20"/>
          <w:sz w:val="24"/>
          <w:szCs w:val="24"/>
          <w:u w:val="single"/>
        </w:rPr>
      </w:pPr>
      <w:r>
        <w:rPr>
          <w:rFonts w:hint="eastAsia" w:ascii="宋体" w:hAnsi="宋体" w:eastAsia="宋体" w:cs="宋体"/>
          <w:spacing w:val="20"/>
          <w:sz w:val="24"/>
          <w:szCs w:val="24"/>
        </w:rPr>
        <w:t>4、</w:t>
      </w:r>
      <w:r>
        <w:rPr>
          <w:rFonts w:hint="eastAsia" w:ascii="宋体" w:hAnsi="宋体" w:eastAsia="宋体" w:cs="宋体"/>
          <w:b/>
          <w:spacing w:val="20"/>
          <w:sz w:val="24"/>
          <w:szCs w:val="24"/>
          <w:u w:val="single"/>
        </w:rPr>
        <w:t>在完成交流试验后，专用显示表上不会立即归零，而是缓慢下降，这是由于采用真有效值的测量方式，归零时间一般在10-15分钟,若不完全归零,也不影响测量精度。因为交流没有“正”或“负”极性，但在交流试验时仪表显示仍然有“-”号，这是TMS转换芯片为了提高抗电磁干扰的能力而设计的负信号输出，对测试精度没有影响；同时在交流测量中，仪表在没有归零的情况下重复测量也是不会影响准确度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textAlignment w:val="auto"/>
        <w:outlineLvl w:val="9"/>
        <w:rPr>
          <w:rFonts w:hint="eastAsia" w:ascii="宋体" w:hAnsi="宋体" w:eastAsia="宋体" w:cs="宋体"/>
          <w:b/>
          <w:spacing w:val="20"/>
          <w:sz w:val="24"/>
          <w:szCs w:val="24"/>
          <w:u w:val="single"/>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spacing w:val="20"/>
          <w:sz w:val="24"/>
          <w:szCs w:val="24"/>
          <w:u w:val="single"/>
        </w:rPr>
      </w:pPr>
    </w:p>
    <w:tbl>
      <w:tblPr>
        <w:tblStyle w:val="6"/>
        <w:tblpPr w:leftFromText="180" w:rightFromText="180" w:vertAnchor="text" w:horzAnchor="page" w:tblpX="1892" w:tblpY="714"/>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307"/>
        <w:gridCol w:w="1106"/>
        <w:gridCol w:w="1301"/>
        <w:gridCol w:w="2199"/>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trPr>
        <w:tc>
          <w:tcPr>
            <w:tcW w:w="185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型号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规格</w:t>
            </w:r>
          </w:p>
        </w:tc>
        <w:tc>
          <w:tcPr>
            <w:tcW w:w="130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测量电压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范围</w:t>
            </w:r>
            <w:r>
              <w:rPr>
                <w:rFonts w:hint="eastAsia" w:ascii="宋体" w:hAnsi="宋体" w:eastAsia="宋体" w:cs="宋体"/>
                <w:sz w:val="24"/>
                <w:szCs w:val="24"/>
                <w:lang w:val="en-US" w:eastAsia="zh-CN"/>
              </w:rPr>
              <w:t>k</w:t>
            </w:r>
            <w:r>
              <w:rPr>
                <w:rFonts w:hint="eastAsia" w:ascii="宋体" w:hAnsi="宋体" w:eastAsia="宋体" w:cs="宋体"/>
                <w:sz w:val="24"/>
                <w:szCs w:val="24"/>
              </w:rPr>
              <w:t>V</w:t>
            </w:r>
          </w:p>
        </w:tc>
        <w:tc>
          <w:tcPr>
            <w:tcW w:w="11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分压器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阻抗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b/>
                <w:sz w:val="24"/>
                <w:szCs w:val="24"/>
              </w:rPr>
              <w:t>Ω</w:t>
            </w:r>
          </w:p>
        </w:tc>
        <w:tc>
          <w:tcPr>
            <w:tcW w:w="350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外形尺寸mm</w:t>
            </w:r>
          </w:p>
        </w:tc>
        <w:tc>
          <w:tcPr>
            <w:tcW w:w="123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重量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trPr>
        <w:tc>
          <w:tcPr>
            <w:tcW w:w="1857"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p>
        </w:tc>
        <w:tc>
          <w:tcPr>
            <w:tcW w:w="1307"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p>
        </w:tc>
        <w:tc>
          <w:tcPr>
            <w:tcW w:w="1106"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分压器</w:t>
            </w:r>
          </w:p>
        </w:tc>
        <w:tc>
          <w:tcPr>
            <w:tcW w:w="219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箱体</w:t>
            </w:r>
          </w:p>
        </w:tc>
        <w:tc>
          <w:tcPr>
            <w:tcW w:w="1230"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18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YTC8106</w:t>
            </w:r>
            <w:r>
              <w:rPr>
                <w:rFonts w:hint="eastAsia" w:ascii="宋体" w:hAnsi="宋体" w:eastAsia="宋体" w:cs="宋体"/>
                <w:sz w:val="24"/>
                <w:szCs w:val="24"/>
              </w:rPr>
              <w:t>-50</w:t>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AC-50 </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540</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Ф84×500</w:t>
            </w:r>
          </w:p>
        </w:tc>
        <w:tc>
          <w:tcPr>
            <w:tcW w:w="219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170×170×550</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8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YTC8106</w:t>
            </w:r>
            <w:r>
              <w:rPr>
                <w:rFonts w:hint="eastAsia" w:ascii="宋体" w:hAnsi="宋体" w:eastAsia="宋体" w:cs="宋体"/>
                <w:sz w:val="24"/>
                <w:szCs w:val="24"/>
              </w:rPr>
              <w:t>-60</w:t>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AC-60 </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1000</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Ф84×650</w:t>
            </w:r>
          </w:p>
        </w:tc>
        <w:tc>
          <w:tcPr>
            <w:tcW w:w="219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170×170×720</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8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YTC8106</w:t>
            </w:r>
            <w:r>
              <w:rPr>
                <w:rFonts w:hint="eastAsia" w:ascii="宋体" w:hAnsi="宋体" w:eastAsia="宋体" w:cs="宋体"/>
                <w:sz w:val="24"/>
                <w:szCs w:val="24"/>
              </w:rPr>
              <w:t>-100</w:t>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AC-100 </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1000</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Ф84×650</w:t>
            </w:r>
          </w:p>
        </w:tc>
        <w:tc>
          <w:tcPr>
            <w:tcW w:w="219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170×170×720</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8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YTC8106</w:t>
            </w:r>
            <w:r>
              <w:rPr>
                <w:rFonts w:hint="eastAsia" w:ascii="宋体" w:hAnsi="宋体" w:eastAsia="宋体" w:cs="宋体"/>
                <w:sz w:val="24"/>
                <w:szCs w:val="24"/>
              </w:rPr>
              <w:t>-150</w:t>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AC-150 </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1800</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Ф84×900</w:t>
            </w:r>
          </w:p>
        </w:tc>
        <w:tc>
          <w:tcPr>
            <w:tcW w:w="219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220×220×1050</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8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YTC8106</w:t>
            </w:r>
            <w:r>
              <w:rPr>
                <w:rFonts w:hint="eastAsia" w:ascii="宋体" w:hAnsi="宋体" w:eastAsia="宋体" w:cs="宋体"/>
                <w:sz w:val="24"/>
                <w:szCs w:val="24"/>
              </w:rPr>
              <w:t>-200</w:t>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AC-200 </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2200</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Ф84×1400</w:t>
            </w:r>
          </w:p>
        </w:tc>
        <w:tc>
          <w:tcPr>
            <w:tcW w:w="219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220×220×1450</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8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YTC8106</w:t>
            </w:r>
            <w:r>
              <w:rPr>
                <w:rFonts w:hint="eastAsia" w:ascii="宋体" w:hAnsi="宋体" w:eastAsia="宋体" w:cs="宋体"/>
                <w:sz w:val="24"/>
                <w:szCs w:val="24"/>
              </w:rPr>
              <w:t>-300</w:t>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AC-300 </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3000</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Ф84×1750</w:t>
            </w:r>
          </w:p>
        </w:tc>
        <w:tc>
          <w:tcPr>
            <w:tcW w:w="219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260×260×1850</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19</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outlineLvl w:val="9"/>
        <w:rPr>
          <w:rFonts w:hint="eastAsia" w:ascii="宋体" w:hAnsi="宋体" w:eastAsia="宋体" w:cs="宋体"/>
          <w:b/>
          <w:spacing w:val="2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outlineLvl w:val="9"/>
        <w:rPr>
          <w:rFonts w:hint="eastAsia" w:ascii="宋体" w:hAnsi="宋体" w:eastAsia="宋体" w:cs="宋体"/>
          <w:b/>
          <w:spacing w:val="20"/>
          <w:sz w:val="24"/>
          <w:szCs w:val="24"/>
        </w:rPr>
      </w:pPr>
      <w:r>
        <w:rPr>
          <w:rFonts w:hint="eastAsia" w:ascii="宋体" w:hAnsi="宋体" w:eastAsia="宋体" w:cs="宋体"/>
          <w:b/>
          <w:spacing w:val="20"/>
          <w:sz w:val="24"/>
          <w:szCs w:val="24"/>
        </w:rPr>
        <w:t>附:型号规格及主要技术数据一览表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0"/>
        <w:rPr>
          <w:rFonts w:hint="eastAsia" w:ascii="宋体" w:hAnsi="宋体" w:eastAsia="宋体" w:cs="宋体"/>
          <w:b/>
          <w:bCs/>
          <w:sz w:val="24"/>
          <w:szCs w:val="24"/>
        </w:rPr>
      </w:pPr>
      <w:bookmarkStart w:id="4" w:name="_Toc28410"/>
      <w:r>
        <w:rPr>
          <w:rFonts w:hint="eastAsia" w:ascii="宋体" w:hAnsi="宋体" w:eastAsia="宋体" w:cs="宋体"/>
          <w:b/>
          <w:bCs/>
          <w:sz w:val="24"/>
          <w:szCs w:val="24"/>
        </w:rPr>
        <w:t>五、仪器成套性</w:t>
      </w:r>
      <w:bookmarkEnd w:id="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1、高精度数显表                  一台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2、带屏蔽高频电缆测试线          一根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3、接地线                        一根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4、合格证                        一份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5、保修卡                        一份</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eastAsia" w:ascii="宋体" w:hAnsi="宋体"/>
        <w:sz w:val="21"/>
        <w:szCs w:val="21"/>
      </w:rPr>
    </w:pPr>
    <w:r>
      <w:rPr>
        <w:rFonts w:hint="eastAsia" w:ascii="宋体" w:hAnsi="宋体"/>
        <w:sz w:val="21"/>
        <w:szCs w:val="21"/>
      </w:rPr>
      <w:t>YTC8106-100交</w:t>
    </w:r>
    <w:r>
      <w:rPr>
        <w:rFonts w:hint="eastAsia" w:ascii="宋体" w:hAnsi="宋体"/>
        <w:sz w:val="21"/>
        <w:szCs w:val="21"/>
        <w:lang w:eastAsia="zh-CN"/>
      </w:rPr>
      <w:t>直</w:t>
    </w:r>
    <w:r>
      <w:rPr>
        <w:rFonts w:hint="eastAsia" w:ascii="宋体" w:hAnsi="宋体"/>
        <w:sz w:val="21"/>
        <w:szCs w:val="21"/>
      </w:rPr>
      <w:t xml:space="preserve">流分压器     </w:t>
    </w:r>
    <w:r>
      <w:rPr>
        <w:rFonts w:hint="eastAsia" w:ascii="宋体" w:hAnsi="宋体"/>
        <w:sz w:val="21"/>
        <w:szCs w:val="21"/>
        <w:lang w:val="en-US" w:eastAsia="zh-CN"/>
      </w:rPr>
      <w:t xml:space="preserve"> </w:t>
    </w:r>
    <w:r>
      <w:rPr>
        <w:rFonts w:hint="eastAsia" w:ascii="宋体" w:hAnsi="宋体"/>
        <w:sz w:val="21"/>
        <w:szCs w:val="21"/>
      </w:rPr>
      <w:t xml:space="preserve"> www.hb1000kv.com      湖北仪天成电力设备有限公司</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A0005"/>
    <w:multiLevelType w:val="multilevel"/>
    <w:tmpl w:val="3C5A0005"/>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863CB"/>
    <w:rsid w:val="0AEF6EF6"/>
    <w:rsid w:val="37C15B7D"/>
    <w:rsid w:val="3CD12A2E"/>
    <w:rsid w:val="40085417"/>
    <w:rsid w:val="63B37AC2"/>
    <w:rsid w:val="653B4D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png"/><Relationship Id="rId7" Type="http://schemas.openxmlformats.org/officeDocument/2006/relationships/oleObject" Target="embeddings/oleObject1.bin"/><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2018-06-08T07:18:09Z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