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both"/>
        <w:rPr>
          <w:rFonts w:hint="eastAsia" w:ascii="宋体" w:hAnsi="宋体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108585</wp:posOffset>
            </wp:positionV>
            <wp:extent cx="2743200" cy="1721485"/>
            <wp:effectExtent l="0" t="0" r="0" b="12065"/>
            <wp:wrapSquare wrapText="bothSides"/>
            <wp:docPr id="13" name="图片 39" descr="仪天成电力设备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9" descr="仪天成电力设备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720" w:lineRule="auto"/>
        <w:ind w:firstLine="280" w:firstLineChars="100"/>
        <w:textAlignment w:val="baseline"/>
        <w:outlineLvl w:val="9"/>
        <w:rPr>
          <w:rFonts w:hint="eastAsia" w:ascii="宋体" w:hAnsi="宋体"/>
          <w:b/>
          <w:spacing w:val="-20"/>
          <w:sz w:val="48"/>
        </w:rPr>
      </w:pP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510540</wp:posOffset>
                </wp:positionV>
                <wp:extent cx="4472305" cy="3175"/>
                <wp:effectExtent l="0" t="18415" r="4445" b="546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72305" cy="3175"/>
                        </a:xfrm>
                        <a:prstGeom prst="line">
                          <a:avLst/>
                        </a:prstGeom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5.65pt;margin-top:40.2pt;height:0.25pt;width:352.15pt;z-index:251752448;mso-width-relative:page;mso-height-relative:page;" filled="f" stroked="t" coordsize="21600,21600" o:gfxdata="UEsDBAoAAAAAAIdO4kAAAAAAAAAAAAAAAAAEAAAAZHJzL1BLAwQUAAAACACHTuJAn1oGrtkAAAAJ&#10;AQAADwAAAGRycy9kb3ducmV2LnhtbE2PwW7CMAyG75P2DpEn7TaSwGDQNUUIaadNZVAOHNPGa6s1&#10;TtWkwN5+4bQdbX/6/f3p+mo7dsbBt44UyIkAhlQ501Kt4Fi8PS2B+aDJ6M4RKvhBD+vs/i7ViXEX&#10;2uP5EGoWQ8gnWkETQp9w7qsGrfYT1yPF25cbrA5xHGpuBn2J4bbjUyEW3OqW4odG97htsPo+jFbB&#10;Lt/vPk6bMX+R86LI34fPbTnbKPX4IMUrsIDX8AfDTT+qQxadSjeS8axTMJVyFlEFS/EMLAIrOV8A&#10;K2+LFfAs5f8bZL9QSwMEFAAAAAgAh07iQKlPTZTlAQAApgMAAA4AAABkcnMvZTJvRG9jLnhtbK1T&#10;zW4TMRC+I/UdLN+b3aRpg1bZ9EAoFwSVCtwn/tm15D/ZbjZ5CV4AiRucOHLv21Aeg7E3BFouCLGH&#10;0djz+dv5Po+XlzujyVaEqJxt6XRSUyIsc1zZrqVv31ydPqUkJrActLOipXsR6eXq5Mly8I2Yud5p&#10;LgJBEhubwbe0T8k3VRVZLwzEifPCYlG6YCDhMnQVDzAgu9HVrK4vqsEF7oNjIkbcXY9Fuir8UgqW&#10;XksZRSK6pdhbKjGUuMmxWi2h6QL4XrFDG/APXRhQFn96pFpDAnIb1B9URrHgopNpwpypnJSKiaIB&#10;1UzrR2puevCiaEFzoj/aFP8fLXu1vQ5Ecby7OSUWDN7R/Yev395/+n73EeP9l88EK2jT4GOD6Bt/&#10;HQ6riGnWvJPBEKmVf4csxQXURXbF5P3RZLFLhOHmfL6YndXnlDCsnU0X55m8Glkymw8xvRDOkJy0&#10;VCubLYAGti9jGqE/IXlbWzK0dHGBw4CUgCMkNSRMjUdR0XblcHRa8SuldT4SQ7d5pgPZQh6K8h16&#10;eADLf1lD7EdcKWUYNL0A/txykvYe3bI41zT3YASnRAt8BjkryARK/w0S5WuLLmSPR1dztnF8j5dz&#10;64PqerRiWrrMFRyG4tlhcPO0/b4uTL+e1+o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1oGrtkA&#10;AAAJAQAADwAAAAAAAAABACAAAAAiAAAAZHJzL2Rvd25yZXYueG1sUEsBAhQAFAAAAAgAh07iQKlP&#10;TZTlAQAApgMAAA4AAAAAAAAAAQAgAAAAKAEAAGRycy9lMm9Eb2MueG1sUEsFBgAAAAAGAAYAWQEA&#10;AH8FAAAAAA==&#10;">
                <v:fill on="f" focussize="0,0"/>
                <v:stroke weight="6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    </w: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  <w:lang w:val="en-US" w:eastAsia="zh-CN"/>
        </w:rPr>
        <w:t xml:space="preserve">    </w: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 </w: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/>
          <w:b/>
          <w:spacing w:val="26"/>
          <w:sz w:val="48"/>
        </w:rPr>
        <w:t>YTC2220数字双钳相位伏安表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                   </w: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</w:t>
      </w:r>
      <w:r>
        <w:rPr>
          <w:rFonts w:hint="eastAsia" w:ascii="黑体" w:hAnsi="宋体" w:eastAsia="黑体" w:cs="SimSun-Identity-H"/>
          <w:b/>
          <w:color w:val="000000"/>
          <w:kern w:val="0"/>
          <w:sz w:val="86"/>
          <w:szCs w:val="28"/>
        </w:rPr>
        <w:t>用户操作手册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尊敬的顾客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感谢您使用本公司YTC2220数字双钳相位伏安表。在您初次使用该仪器前，请您详细地阅读本使用说明书，将可帮助您熟练地使用本仪器。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Picture 2" o:spid="_x0000_s1061" o:spt="75" type="#_x0000_t75" style="position:absolute;left:0pt;margin-left:-54pt;margin-top:7.8pt;height:156pt;width:155.85pt;mso-wrap-distance-bottom:0pt;mso-wrap-distance-left:9pt;mso-wrap-distance-right:9pt;mso-wrap-distance-top:0pt;z-index:251735040;mso-width-relative:page;mso-height-relative:page;" o:ole="t" filled="f" stroked="f" coordsize="21600,21600">
            <v:path/>
            <v:fill on="f" focussize="0,0"/>
            <v:stroke on="f"/>
            <v:imagedata r:id="rId8" cropleft="11097f" croptop="8323f" cropright="7274f" cropbottom="10048f" o:title=""/>
            <o:lock v:ext="edit" grouping="f" rotation="f" text="f" aspectratio="t"/>
            <w10:wrap type="square"/>
          </v:shape>
          <o:OLEObject Type="Embed" ProgID="PBrush" ShapeID="Picture 2" DrawAspect="Content" ObjectID="_1468075725" r:id="rId7">
            <o:LockedField>false</o:LockedField>
          </o:OLEObject>
        </w:pict>
      </w:r>
      <w:r>
        <w:rPr>
          <w:rFonts w:hint="eastAsia" w:ascii="宋体" w:hAnsi="宋体" w:eastAsia="宋体" w:cs="宋体"/>
          <w:sz w:val="24"/>
          <w:szCs w:val="24"/>
        </w:rPr>
        <w:t>我们的宗旨是不断地改进和完善公司的产品，因此您所使用的仪器可能与使用说明书有少许的差别。如果有改动的话，我们会用附页方式告知，敬请谅解！您有不清楚之处，请与公司售后服务部联络，我们定会满足您的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Picture 3" o:spid="_x0000_s1062" o:spt="75" type="#_x0000_t75" style="position:absolute;left:0pt;margin-left:-159.6pt;margin-top:13.35pt;height:138.9pt;width:149.25pt;mso-wrap-distance-bottom:0pt;mso-wrap-distance-left:9pt;mso-wrap-distance-right:9pt;mso-wrap-distance-top:0pt;z-index:251736064;mso-width-relative:page;mso-height-relative:page;" o:ole="t" filled="f" stroked="f" coordsize="21600,21600">
            <v:path/>
            <v:fill on="f" focussize="0,0"/>
            <v:stroke on="f"/>
            <v:imagedata r:id="rId10" cropleft="13871f" croptop="8323f" cropright="10048f" cropbottom="15596f" o:title=""/>
            <o:lock v:ext="edit" grouping="f" rotation="f" text="f" aspectratio="t"/>
            <w10:wrap type="square"/>
          </v:shape>
          <o:OLEObject Type="Embed" ProgID="PBrush" ShapeID="Picture 3" DrawAspect="Content" ObjectID="_1468075726" r:id="rId9">
            <o:LockedField>false</o:LockedField>
          </o:OLEObject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由于输入输出端子、测试柱等均有可能带电压，您在插拔测试线、电源插座时，会产生电火花，小心电击，避免触电危险，注意人身安全！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838" w:right="0" w:rightChars="0" w:firstLine="419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838" w:right="0" w:rightChars="0" w:firstLine="419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慎重保证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本公司生产的产品，在发货之日起三个月内，如产品出现缺陷，实行包换。一年（包括一年）内如产品出现缺陷，实行免费维修。一年以上如产品出现缺陷，实行有偿终身维修。如有合同约定的按合同执行。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安全要求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6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请阅读下列安全注意事项，以免人身伤害，并防止本产品或与其相连接的任何其它产品受到损坏。为了避免可能发生的危险，本产品只可在规定的范围内使用。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  <w:u w:val="thick"/>
        </w:rPr>
      </w:pPr>
      <w:r>
        <w:rPr>
          <w:rFonts w:hint="eastAsia" w:ascii="宋体" w:hAnsi="宋体" w:eastAsia="宋体" w:cs="宋体"/>
          <w:b/>
          <w:bCs/>
          <w:i/>
          <w:iCs/>
          <w:sz w:val="24"/>
          <w:szCs w:val="24"/>
        </w:rPr>
        <w:t>只有合格的技术人员才可执行维修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—防止火灾或人身伤害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75" w:firstLineChars="198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使用适当的电源线。</w:t>
      </w:r>
      <w:r>
        <w:rPr>
          <w:rFonts w:hint="eastAsia" w:ascii="宋体" w:hAnsi="宋体" w:eastAsia="宋体" w:cs="宋体"/>
          <w:sz w:val="24"/>
          <w:szCs w:val="24"/>
        </w:rPr>
        <w:t>只可使用本产品专用、并且符合本产品规格的电源线。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520" w:firstLineChars="217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正确地连接和断开。</w:t>
      </w:r>
      <w:r>
        <w:rPr>
          <w:rFonts w:hint="eastAsia" w:ascii="宋体" w:hAnsi="宋体" w:eastAsia="宋体" w:cs="宋体"/>
          <w:sz w:val="24"/>
          <w:szCs w:val="24"/>
        </w:rPr>
        <w:t>当测试导线与带电端子连接时，请勿随意连接或断开测试导线。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520" w:firstLineChars="217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产品接地。</w:t>
      </w:r>
      <w:r>
        <w:rPr>
          <w:rFonts w:hint="eastAsia" w:ascii="宋体" w:hAnsi="宋体" w:eastAsia="宋体" w:cs="宋体"/>
          <w:sz w:val="24"/>
          <w:szCs w:val="24"/>
        </w:rPr>
        <w:t>本产品除通过电源线接地导线接地外，产品外壳的接地柱必须接地。为了防止电击，接地导体必须与地面相连。在与本产品输入或输出终端连接前，应确保本产品已正确接地。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75" w:firstLineChars="198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注意所有终端的额定值。</w:t>
      </w:r>
      <w:r>
        <w:rPr>
          <w:rFonts w:hint="eastAsia" w:ascii="宋体" w:hAnsi="宋体" w:eastAsia="宋体" w:cs="宋体"/>
          <w:sz w:val="24"/>
          <w:szCs w:val="24"/>
        </w:rPr>
        <w:t>为了防止火灾或电击危险，请注意本产品的所有额定值和标记。在对本产品进行连接之前，请阅读本产品使用说明书，以便进一步了解有关额定值的信息。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520" w:firstLineChars="217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请勿在无仪器盖板时操作。</w:t>
      </w:r>
      <w:r>
        <w:rPr>
          <w:rFonts w:hint="eastAsia" w:ascii="宋体" w:hAnsi="宋体" w:eastAsia="宋体" w:cs="宋体"/>
          <w:sz w:val="24"/>
          <w:szCs w:val="24"/>
        </w:rPr>
        <w:t>如盖板或面板已卸下，请勿操作本产品。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520" w:firstLineChars="217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使用适当的保险丝。</w:t>
      </w:r>
      <w:r>
        <w:rPr>
          <w:rFonts w:hint="eastAsia" w:ascii="宋体" w:hAnsi="宋体" w:eastAsia="宋体" w:cs="宋体"/>
          <w:sz w:val="24"/>
          <w:szCs w:val="24"/>
        </w:rPr>
        <w:t>只可使用符合本产品规定类型和额定值的保险丝。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520" w:firstLineChars="217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避免接触裸露电路和带电金属。</w:t>
      </w:r>
      <w:r>
        <w:rPr>
          <w:rFonts w:hint="eastAsia" w:ascii="宋体" w:hAnsi="宋体" w:eastAsia="宋体" w:cs="宋体"/>
          <w:sz w:val="24"/>
          <w:szCs w:val="24"/>
        </w:rPr>
        <w:t>产品有电时，请勿触摸裸露的接点和部位。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520" w:firstLineChars="217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在有可疑的故障时，请勿操作。</w:t>
      </w:r>
      <w:r>
        <w:rPr>
          <w:rFonts w:hint="eastAsia" w:ascii="宋体" w:hAnsi="宋体" w:eastAsia="宋体" w:cs="宋体"/>
          <w:sz w:val="24"/>
          <w:szCs w:val="24"/>
        </w:rPr>
        <w:t>如怀疑本产品有损坏，请本公司维修人员进行检查，切勿继续操作。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75" w:firstLineChars="198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请勿在潮湿环境下操作。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75" w:firstLineChars="198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75" w:firstLineChars="198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请勿在易爆环境中操作。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 w:firstLine="475" w:firstLineChars="198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保持产品表面清洁和干燥。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－安全术语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377190</wp:posOffset>
                </wp:positionV>
                <wp:extent cx="4914900" cy="0"/>
                <wp:effectExtent l="0" t="0" r="0" b="0"/>
                <wp:wrapNone/>
                <wp:docPr id="11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-9pt;margin-top:29.7pt;height:0pt;width:387pt;z-index:251738112;mso-width-relative:page;mso-height-relative:page;" filled="f" stroked="t" coordsize="21600,21600" o:gfxdata="UEsDBAoAAAAAAIdO4kAAAAAAAAAAAAAAAAAEAAAAZHJzL1BLAwQUAAAACACHTuJApxvdSNcAAAAJ&#10;AQAADwAAAGRycy9kb3ducmV2LnhtbE2PvU7DQBCEeyTe4bRINFFy50BCMD6nANzRJCSi3diLbeHb&#10;c3yXH3h6FlFAubOjmW+y5dl16khDaD1bSCYGFHHpq5ZrC5vXYrwAFSJyhZ1nsvBJAZb55UWGaeVP&#10;vKLjOtZKQjikaKGJsU+1DmVDDsPE98Tye/eDwyjnUOtqwJOEu05PjZlrhy1LQ4M9PTZUfqwPzkIo&#10;trQvvkblyLzd1J6m+6eXZ7T2+ioxD6AineOfGX7wBR1yYdr5A1dBdRbGyUK2RAuz+1tQYribzUXY&#10;/Qo6z/T/Bfk3UEsDBBQAAAAIAIdO4kDiacu5wQEAAIwDAAAOAAAAZHJzL2Uyb0RvYy54bWytU8mO&#10;2zAMvRfoPwi6N7aDTNEYceYw6fQyaAO0/QBGiy1AG0RNnPx9KSWT6XIpivogUyL1+PhIbe5PzrKj&#10;SmiCH3i3aDlTXgRp/Djw798e333gDDN4CTZ4NfCzQn6/fftmM8deLcMUrFSJEYjHfo4Dn3KOfdOg&#10;mJQDXISoPDl1SA4ybdPYyAQzoTvbLNv2fTOHJGMKQiHS6e7i5NuKr7US+YvWqDKzAyduua6proey&#10;NtsN9GOCOBlxpQH/wMKB8ZT0BrWDDOw5mT+gnBEpYNB5IYJrgtZGqFoDVdO1v1XzdYKoai0kDsab&#10;TPj/YMXn4z4xI6l3HWceHPXoyXjFVkWaOWJPEQ9+n647jPtU6jzp5MqfKmCnKuf5Jqc6ZSbocLXu&#10;VuuWVBcvvub1YkyYP6ngWDEGbilnFRCOT5gpGYW+hJQ81rN54Ou75R3BAQ2KtpDJdJGoox/rXQzW&#10;yEdjbbmBaTw82MSOUFpfv1IS4f4SVpLsAKdLXHVdhmJSID96yfI5kiaeppcXCk5JzqyiYS8WAUKf&#10;wdi/iaTU1hODoupFx2IdgjxTC55jMuNESnSVZfFQyyvf63iWmfp5X5FeH9H2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cb3UjXAAAACQEAAA8AAAAAAAAAAQAgAAAAIgAAAGRycy9kb3ducmV2Lnht&#10;bFBLAQIUABQAAAAIAIdO4kDiacu5wQEAAIwDAAAOAAAAAAAAAAEAIAAAACYBAABkcnMvZTJvRG9j&#10;LnhtbFBLBQYAAAAABgAGAFkBAABZ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/>
          <w:i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</wp:posOffset>
                </wp:positionV>
                <wp:extent cx="4914900" cy="0"/>
                <wp:effectExtent l="0" t="0" r="0" b="0"/>
                <wp:wrapNone/>
                <wp:docPr id="10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flip:y;margin-left:-9pt;margin-top:2.25pt;height:0pt;width:387pt;z-index:251737088;mso-width-relative:page;mso-height-relative:page;" filled="f" stroked="t" coordsize="21600,21600" o:gfxdata="UEsDBAoAAAAAAIdO4kAAAAAAAAAAAAAAAAAEAAAAZHJzL1BLAwQUAAAACACHTuJAirKKMdUAAAAH&#10;AQAADwAAAGRycy9kb3ducmV2LnhtbE2PwU7DMBBE70j8g7VI3Fo7hZY2xKkQAi5ISJTQsxMvSYS9&#10;jmI3LX/PwgWOT7OaeVtsT96JCcfYB9KQzRUIpCbYnloN1dvjbA0iJkPWuECo4QsjbMvzs8LkNhzp&#10;FaddagWXUMyNhi6lIZcyNh16E+dhQOLsI4zeJMaxlXY0Ry73Ti6UWklveuKFzgx432HzuTt4DXf7&#10;54erl6n2wdlNW71bX6mnhdaXF5m6BZHwlP6O4Uef1aFkpzocyEbhNMyyNf+SNFwvQXB+s1wx178s&#10;y0L+9y+/AVBLAwQUAAAACACHTuJAqk4mCscBAACWAwAADgAAAGRycy9lMm9Eb2MueG1srVPJjtsw&#10;DL0X6D8Iujd2gknRGHHmMOn0MmgDdLkzWmwB2iBq4uTvS8mZdLsURX0QSJF65Hukt/dnZ9lJJTTB&#10;93y5aDlTXgRp/NDzr18e37zjDDN4CTZ41fOLQn6/e/1qO8VOrcIYrFSJEYjHboo9H3OOXdOgGJUD&#10;XISoPAV1SA4yuWloZIKJ0J1tVm37tplCkjEFoRDpdj8H+a7ia61E/qQ1qsxsz6m3XM9Uz2M5m90W&#10;uiFBHI24tgH/0IUD46noDWoPGdhzMn9AOSNSwKDzQgTXBK2NUJUDsVm2v7H5PEJUlQuJg/EmE/4/&#10;WPHxdEjMSJodyePB0YyejFdsXaSZInaU8eAP6ephPKTC86yTY9qa+I1eVubEhZ2rsJebsOqcmaDL&#10;u83ybtNSAfESa2aIAhUT5g8qOFaMnluqXgHh9ISZylLqS0pJt55NPd+sV2uCA1oZbSGT6SKRQD/U&#10;txiskY/G2vIC03B8sImdoCxB/Qo5wv0lrRTZA45zXg3N6zEqkO+9ZPkSSR1Pe8xLC05JzqyitS8W&#10;AUKXwdi/yaTS1lMHRd9Z0WIdg7zQMJ5jMsNISixrlyVCw6/9Xhe1bNfPfkX68Tvtv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Ksoox1QAAAAcBAAAPAAAAAAAAAAEAIAAAACIAAABkcnMvZG93bnJl&#10;di54bWxQSwECFAAUAAAACACHTuJAqk4mCscBAACWAwAADgAAAAAAAAABACAAAAAkAQAAZHJzL2Uy&#10;b0RvYy54bWxQSwUGAAAAAAYABgBZAQAAX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/>
          <w:iCs/>
          <w:sz w:val="24"/>
          <w:szCs w:val="24"/>
        </w:rPr>
        <w:t>警告：</w:t>
      </w:r>
      <w:r>
        <w:rPr>
          <w:rFonts w:hint="eastAsia" w:ascii="宋体" w:hAnsi="宋体" w:eastAsia="宋体" w:cs="宋体"/>
          <w:i/>
          <w:iCs/>
          <w:sz w:val="24"/>
          <w:szCs w:val="24"/>
        </w:rPr>
        <w:t>警告字句指出可能造成人身伤亡的状况或做法。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i/>
          <w:iCs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367665</wp:posOffset>
                </wp:positionV>
                <wp:extent cx="4914900" cy="0"/>
                <wp:effectExtent l="0" t="0" r="0" b="0"/>
                <wp:wrapNone/>
                <wp:docPr id="12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6" o:spid="_x0000_s1026" o:spt="20" style="position:absolute;left:0pt;margin-left:-9pt;margin-top:28.95pt;height:0pt;width:387pt;z-index:251740160;mso-width-relative:page;mso-height-relative:page;" filled="f" stroked="t" coordsize="21600,21600" o:gfxdata="UEsDBAoAAAAAAIdO4kAAAAAAAAAAAAAAAAAEAAAAZHJzL1BLAwQUAAAACACHTuJAbS7q09cAAAAJ&#10;AQAADwAAAGRycy9kb3ducmV2LnhtbE2PO0/DQBCEeyT+w2mRaKLk7KC8jM8pAHc0BFDajW+xLXx7&#10;ju/ygF/PohRQ7uxo5pt8fXadOtIQWs8G0kkCirjytuXawNtrOV6CChHZYueZDHxRgHVxfZVjZv2J&#10;X+i4ibWSEA4ZGmhi7DOtQ9WQwzDxPbH8PvzgMMo51NoOeJJw1+lpksy1w5alocGeHhqqPjcHZyCU&#10;77Qvv0fVKNne1Z6m+8fnJzTm9iZN7kFFOsc/M/ziCzoUwrTzB7ZBdQbG6VK2RAOzxQqUGBazuQi7&#10;i6CLXP9fUPwAUEsDBBQAAAAIAIdO4kCJkd+vwgEAAIwDAAAOAAAAZHJzL2Uyb0RvYy54bWytU8lu&#10;GzEMvQfoPwi61zM2kqAeeOxD3PQStAaafACtZUaANoiKx/77UrLjdLkUReegoUTq8fGRWm2OzrKD&#10;SmiC7/l81nKmvAjS+KHnL8+PHz9xhhm8BBu86vlJId+sP9ysptipRRiDlSoxAvHYTbHnY86xaxoU&#10;o3KAsxCVJ6cOyUGmbRoamWAidGebRdveN1NIMqYgFCKdbs9Ovq74WiuRv2mNKjPbc+KW65rqui9r&#10;s15BNySIoxEXGvAPLBwYT0mvUFvIwF6T+QPKGZECBp1nIrgmaG2EqjVQNfP2t2q+jxBVrYXEwXiV&#10;Cf8frPh62CVmJPVuwZkHRz16Ml6x+yLNFLGjiAe/S5cdxl0qdR51cuVPFbBjlfN0lVMdMxN0eLuc&#10;3y5bUl28+Zr3izFh/qKCY8XouaWcVUA4PGGmZBT6FlLyWM+mni/vFncEBzQo2kIm00Wijn6odzFY&#10;Ix+NteUGpmH/YBM7QGl9/UpJhPtLWEmyBRzPcdV1HopRgfzsJcunSJp4ml5eKDglObOKhr1YBAhd&#10;BmP/JpJSW08MiqpnHYu1D/JELXiNyQwjKTGvLIuHWl75XsazzNTP+4r0/ojWP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tLurT1wAAAAkBAAAPAAAAAAAAAAEAIAAAACIAAABkcnMvZG93bnJldi54&#10;bWxQSwECFAAUAAAACACHTuJAiZHfr8IBAACMAwAADgAAAAAAAAABACAAAAAmAQAAZHJzL2Uyb0Rv&#10;Yy54bWxQSwUGAAAAAAYABgBZAQAAW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4914900" cy="9525"/>
                <wp:effectExtent l="0" t="0" r="0" b="0"/>
                <wp:wrapNone/>
                <wp:docPr id="9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7" o:spid="_x0000_s1026" o:spt="20" style="position:absolute;left:0pt;margin-left:-9pt;margin-top:0pt;height:0.75pt;width:387pt;z-index:251739136;mso-width-relative:page;mso-height-relative:page;" filled="f" stroked="t" coordsize="21600,21600" o:gfxdata="UEsDBAoAAAAAAIdO4kAAAAAAAAAAAAAAAAAEAAAAZHJzL1BLAwQUAAAACACHTuJAFmg1x9UAAAAG&#10;AQAADwAAAGRycy9kb3ducmV2LnhtbE2PS0/DMBCE70j8B2uRuFStnaI+FOL0AOTGhQLiuo23SUS8&#10;TmP3Ab+e5QSX1a5mNPtNsbn4Xp1ojF1gC9nMgCKug+u4sfD2Wk3XoGJCdtgHJgtfFGFTXl8VmLtw&#10;5hc6bVOjJIRjjhbalIZc61i35DHOwkAs2j6MHpOcY6PdiGcJ972eG7PUHjuWDy0O9NBS/bk9egux&#10;eqdD9T2pJ+bjrgk0Pzw+P6G1tzeZuQeV6JL+zPCLL+hQCtMuHNlF1VuYZmvpkizIFHm1WMqyE98C&#10;dFno//jlD1BLAwQUAAAACACHTuJAPvYllcABAACOAwAADgAAAGRycy9lMm9Eb2MueG1srVPLbtsw&#10;ELwX6D8QvMeSjaStBcs5xE0vQWug7Qes+ZAI8AUuY9l/3yWtOn1ciiI6UKR2ODs7u9rcn5xlR5XQ&#10;BN/z5aLlTHkRpPFDz79/e7z5wBlm8BJs8KrnZ4X8fvv2zWaKnVqFMVipEiMSj90Uez7mHLumQTEq&#10;B7gIUXkK6pAcZDqmoZEJJmJ3tlm17btmCknGFIRCpK+7S5BvK7/WSuQvWqPKzPactOW6proeytps&#10;N9ANCeJoxCwD/kOFA+Mp6ZVqBxnYczJ/UTkjUsCg80IE1wStjVC1Bqpm2f5RzdcRoqq1kDkYrzbh&#10;69GKz8d9Ykb2fM2ZB0ctejJesffFmSliR4AHv0/zCeM+lTJPOrnypgLYqbp5vrqpTpkJ+ni7Xt6u&#10;WzJdUGx9t7orlM3L3Zgwf1LBsbLpuaW01UI4PmG+QH9CSirr2TTzMAE0KtpCJnIXSTz6od7FYI18&#10;NNaWG5iGw4NN7Ail+fWZJfwGK0l2gOMFV0MFBt2oQH70kuVzJFs8zS8vEpySnFlF4152FZnB2H9B&#10;UvXWkwnF2IuVZXcI8kxNeI7JDCM5sawqS4SaXi2bB7RM1a/nyvTyG21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ZoNcfVAAAABgEAAA8AAAAAAAAAAQAgAAAAIgAAAGRycy9kb3ducmV2LnhtbFBL&#10;AQIUABQAAAAIAIdO4kA+9iWVwAEAAI4DAAAOAAAAAAAAAAEAIAAAACQBAABkcnMvZTJvRG9jLnht&#10;bFBLBQYAAAAABgAGAFkBAABW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i/>
          <w:iCs/>
          <w:sz w:val="24"/>
          <w:szCs w:val="24"/>
        </w:rPr>
        <w:t>小心：</w:t>
      </w:r>
      <w:r>
        <w:rPr>
          <w:rFonts w:hint="eastAsia" w:ascii="宋体" w:hAnsi="宋体" w:eastAsia="宋体" w:cs="宋体"/>
          <w:i/>
          <w:iCs/>
          <w:sz w:val="24"/>
          <w:szCs w:val="24"/>
        </w:rPr>
        <w:t>小心字句指出可能造成本产品损坏的状况或做法。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i/>
          <w:i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pacing w:val="24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pacing w:val="24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spacing w:line="360" w:lineRule="exact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exact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exact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exact"/>
        <w:jc w:val="center"/>
        <w:rPr>
          <w:rFonts w:hint="eastAsia" w:ascii="宋体" w:hAnsi="宋体"/>
          <w:b/>
          <w:sz w:val="44"/>
          <w:szCs w:val="44"/>
          <w:lang w:val="en-US" w:eastAsia="zh-CN"/>
        </w:rPr>
      </w:pPr>
    </w:p>
    <w:p>
      <w:pPr>
        <w:spacing w:line="360" w:lineRule="exact"/>
        <w:jc w:val="center"/>
        <w:rPr>
          <w:rFonts w:hint="eastAsia" w:ascii="宋体" w:hAnsi="宋体"/>
          <w:b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sz w:val="36"/>
          <w:szCs w:val="36"/>
          <w:lang w:val="en-US" w:eastAsia="zh-CN"/>
        </w:rPr>
        <w:t>目录</w:t>
      </w:r>
    </w:p>
    <w:p>
      <w:pPr>
        <w:pStyle w:val="8"/>
        <w:keepNext w:val="0"/>
        <w:keepLines w:val="0"/>
        <w:pageBreakBefore w:val="0"/>
        <w:widowControl w:val="0"/>
        <w:tabs>
          <w:tab w:val="right" w:leader="dot" w:pos="10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/>
          <w:b/>
          <w:sz w:val="24"/>
          <w:szCs w:val="24"/>
          <w:lang w:val="en-US" w:eastAsia="zh-CN"/>
        </w:rPr>
        <w:instrText xml:space="preserve">TOC \o "1-1" \h \u </w:instrText>
      </w:r>
      <w:r>
        <w:rPr>
          <w:rFonts w:hint="eastAsia" w:ascii="宋体" w:hAnsi="宋体"/>
          <w:b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instrText xml:space="preserve"> HYPERLINK \l _Toc27784 </w:instrText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一． 简介</w:t>
      </w:r>
      <w:r>
        <w:rPr>
          <w:kern w:val="2"/>
          <w:sz w:val="24"/>
          <w:szCs w:val="24"/>
          <w:lang w:val="en-US" w:eastAsia="zh-CN" w:bidi="ar-SA"/>
        </w:rPr>
        <w:tab/>
      </w:r>
      <w:r>
        <w:rPr>
          <w:kern w:val="2"/>
          <w:sz w:val="24"/>
          <w:szCs w:val="24"/>
          <w:lang w:val="en-US" w:eastAsia="zh-CN" w:bidi="ar-SA"/>
        </w:rPr>
        <w:fldChar w:fldCharType="begin"/>
      </w:r>
      <w:r>
        <w:rPr>
          <w:kern w:val="2"/>
          <w:sz w:val="24"/>
          <w:szCs w:val="24"/>
          <w:lang w:val="en-US" w:eastAsia="zh-CN" w:bidi="ar-SA"/>
        </w:rPr>
        <w:instrText xml:space="preserve"> PAGEREF _Toc27784 </w:instrText>
      </w:r>
      <w:r>
        <w:rPr>
          <w:kern w:val="2"/>
          <w:sz w:val="24"/>
          <w:szCs w:val="24"/>
          <w:lang w:val="en-US" w:eastAsia="zh-CN" w:bidi="ar-SA"/>
        </w:rPr>
        <w:fldChar w:fldCharType="separate"/>
      </w:r>
      <w:r>
        <w:rPr>
          <w:kern w:val="2"/>
          <w:sz w:val="24"/>
          <w:szCs w:val="24"/>
          <w:lang w:val="en-US" w:eastAsia="zh-CN" w:bidi="ar-SA"/>
        </w:rPr>
        <w:t>6</w:t>
      </w:r>
      <w:r>
        <w:rPr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right" w:leader="dot" w:pos="10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instrText xml:space="preserve"> HYPERLINK \l _Toc29763 </w:instrText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二．电气符号</w:t>
      </w:r>
      <w:r>
        <w:rPr>
          <w:kern w:val="2"/>
          <w:sz w:val="24"/>
          <w:szCs w:val="24"/>
          <w:lang w:val="en-US" w:eastAsia="zh-CN" w:bidi="ar-SA"/>
        </w:rPr>
        <w:tab/>
      </w:r>
      <w:r>
        <w:rPr>
          <w:kern w:val="2"/>
          <w:sz w:val="24"/>
          <w:szCs w:val="24"/>
          <w:lang w:val="en-US" w:eastAsia="zh-CN" w:bidi="ar-SA"/>
        </w:rPr>
        <w:fldChar w:fldCharType="begin"/>
      </w:r>
      <w:r>
        <w:rPr>
          <w:kern w:val="2"/>
          <w:sz w:val="24"/>
          <w:szCs w:val="24"/>
          <w:lang w:val="en-US" w:eastAsia="zh-CN" w:bidi="ar-SA"/>
        </w:rPr>
        <w:instrText xml:space="preserve"> PAGEREF _Toc29763 </w:instrText>
      </w:r>
      <w:r>
        <w:rPr>
          <w:kern w:val="2"/>
          <w:sz w:val="24"/>
          <w:szCs w:val="24"/>
          <w:lang w:val="en-US" w:eastAsia="zh-CN" w:bidi="ar-SA"/>
        </w:rPr>
        <w:fldChar w:fldCharType="separate"/>
      </w:r>
      <w:r>
        <w:rPr>
          <w:kern w:val="2"/>
          <w:sz w:val="24"/>
          <w:szCs w:val="24"/>
          <w:lang w:val="en-US" w:eastAsia="zh-CN" w:bidi="ar-SA"/>
        </w:rPr>
        <w:t>6</w:t>
      </w:r>
      <w:r>
        <w:rPr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right" w:leader="dot" w:pos="10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instrText xml:space="preserve"> HYPERLINK \l _Toc16475 </w:instrText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三．技术规格</w:t>
      </w:r>
      <w:r>
        <w:rPr>
          <w:kern w:val="2"/>
          <w:sz w:val="24"/>
          <w:szCs w:val="24"/>
          <w:lang w:val="en-US" w:eastAsia="zh-CN" w:bidi="ar-SA"/>
        </w:rPr>
        <w:tab/>
      </w:r>
      <w:r>
        <w:rPr>
          <w:kern w:val="2"/>
          <w:sz w:val="24"/>
          <w:szCs w:val="24"/>
          <w:lang w:val="en-US" w:eastAsia="zh-CN" w:bidi="ar-SA"/>
        </w:rPr>
        <w:fldChar w:fldCharType="begin"/>
      </w:r>
      <w:r>
        <w:rPr>
          <w:kern w:val="2"/>
          <w:sz w:val="24"/>
          <w:szCs w:val="24"/>
          <w:lang w:val="en-US" w:eastAsia="zh-CN" w:bidi="ar-SA"/>
        </w:rPr>
        <w:instrText xml:space="preserve"> PAGEREF _Toc16475 </w:instrText>
      </w:r>
      <w:r>
        <w:rPr>
          <w:kern w:val="2"/>
          <w:sz w:val="24"/>
          <w:szCs w:val="24"/>
          <w:lang w:val="en-US" w:eastAsia="zh-CN" w:bidi="ar-SA"/>
        </w:rPr>
        <w:fldChar w:fldCharType="separate"/>
      </w:r>
      <w:r>
        <w:rPr>
          <w:kern w:val="2"/>
          <w:sz w:val="24"/>
          <w:szCs w:val="24"/>
          <w:lang w:val="en-US" w:eastAsia="zh-CN" w:bidi="ar-SA"/>
        </w:rPr>
        <w:t>6</w:t>
      </w:r>
      <w:r>
        <w:rPr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right" w:leader="dot" w:pos="10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instrText xml:space="preserve"> HYPERLINK \l _Toc11690 </w:instrText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四．仪表结构</w:t>
      </w:r>
      <w:r>
        <w:rPr>
          <w:kern w:val="2"/>
          <w:sz w:val="24"/>
          <w:szCs w:val="24"/>
          <w:lang w:val="en-US" w:eastAsia="zh-CN" w:bidi="ar-SA"/>
        </w:rPr>
        <w:tab/>
      </w:r>
      <w:r>
        <w:rPr>
          <w:kern w:val="2"/>
          <w:sz w:val="24"/>
          <w:szCs w:val="24"/>
          <w:lang w:val="en-US" w:eastAsia="zh-CN" w:bidi="ar-SA"/>
        </w:rPr>
        <w:fldChar w:fldCharType="begin"/>
      </w:r>
      <w:r>
        <w:rPr>
          <w:kern w:val="2"/>
          <w:sz w:val="24"/>
          <w:szCs w:val="24"/>
          <w:lang w:val="en-US" w:eastAsia="zh-CN" w:bidi="ar-SA"/>
        </w:rPr>
        <w:instrText xml:space="preserve"> PAGEREF _Toc11690 </w:instrText>
      </w:r>
      <w:r>
        <w:rPr>
          <w:kern w:val="2"/>
          <w:sz w:val="24"/>
          <w:szCs w:val="24"/>
          <w:lang w:val="en-US" w:eastAsia="zh-CN" w:bidi="ar-SA"/>
        </w:rPr>
        <w:fldChar w:fldCharType="separate"/>
      </w:r>
      <w:r>
        <w:rPr>
          <w:kern w:val="2"/>
          <w:sz w:val="24"/>
          <w:szCs w:val="24"/>
          <w:lang w:val="en-US" w:eastAsia="zh-CN" w:bidi="ar-SA"/>
        </w:rPr>
        <w:t>7</w:t>
      </w:r>
      <w:r>
        <w:rPr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right" w:leader="dot" w:pos="10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instrText xml:space="preserve"> HYPERLINK \l _Toc16039 </w:instrText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五．操作方法</w:t>
      </w:r>
      <w:r>
        <w:rPr>
          <w:kern w:val="2"/>
          <w:sz w:val="24"/>
          <w:szCs w:val="24"/>
          <w:lang w:val="en-US" w:eastAsia="zh-CN" w:bidi="ar-SA"/>
        </w:rPr>
        <w:tab/>
      </w:r>
      <w:r>
        <w:rPr>
          <w:kern w:val="2"/>
          <w:sz w:val="24"/>
          <w:szCs w:val="24"/>
          <w:lang w:val="en-US" w:eastAsia="zh-CN" w:bidi="ar-SA"/>
        </w:rPr>
        <w:fldChar w:fldCharType="begin"/>
      </w:r>
      <w:r>
        <w:rPr>
          <w:kern w:val="2"/>
          <w:sz w:val="24"/>
          <w:szCs w:val="24"/>
          <w:lang w:val="en-US" w:eastAsia="zh-CN" w:bidi="ar-SA"/>
        </w:rPr>
        <w:instrText xml:space="preserve"> PAGEREF _Toc16039 </w:instrText>
      </w:r>
      <w:r>
        <w:rPr>
          <w:kern w:val="2"/>
          <w:sz w:val="24"/>
          <w:szCs w:val="24"/>
          <w:lang w:val="en-US" w:eastAsia="zh-CN" w:bidi="ar-SA"/>
        </w:rPr>
        <w:fldChar w:fldCharType="separate"/>
      </w:r>
      <w:r>
        <w:rPr>
          <w:kern w:val="2"/>
          <w:sz w:val="24"/>
          <w:szCs w:val="24"/>
          <w:lang w:val="en-US" w:eastAsia="zh-CN" w:bidi="ar-SA"/>
        </w:rPr>
        <w:t>8</w:t>
      </w:r>
      <w:r>
        <w:rPr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right" w:leader="dot" w:pos="10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instrText xml:space="preserve"> HYPERLINK \l _Toc22502 </w:instrText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六．电池更换</w:t>
      </w:r>
      <w:r>
        <w:rPr>
          <w:kern w:val="2"/>
          <w:sz w:val="24"/>
          <w:szCs w:val="24"/>
          <w:lang w:val="en-US" w:eastAsia="zh-CN" w:bidi="ar-SA"/>
        </w:rPr>
        <w:tab/>
      </w:r>
      <w:r>
        <w:rPr>
          <w:kern w:val="2"/>
          <w:sz w:val="24"/>
          <w:szCs w:val="24"/>
          <w:lang w:val="en-US" w:eastAsia="zh-CN" w:bidi="ar-SA"/>
        </w:rPr>
        <w:fldChar w:fldCharType="begin"/>
      </w:r>
      <w:r>
        <w:rPr>
          <w:kern w:val="2"/>
          <w:sz w:val="24"/>
          <w:szCs w:val="24"/>
          <w:lang w:val="en-US" w:eastAsia="zh-CN" w:bidi="ar-SA"/>
        </w:rPr>
        <w:instrText xml:space="preserve"> PAGEREF _Toc22502 </w:instrText>
      </w:r>
      <w:r>
        <w:rPr>
          <w:kern w:val="2"/>
          <w:sz w:val="24"/>
          <w:szCs w:val="24"/>
          <w:lang w:val="en-US" w:eastAsia="zh-CN" w:bidi="ar-SA"/>
        </w:rPr>
        <w:fldChar w:fldCharType="separate"/>
      </w:r>
      <w:r>
        <w:rPr>
          <w:kern w:val="2"/>
          <w:sz w:val="24"/>
          <w:szCs w:val="24"/>
          <w:lang w:val="en-US" w:eastAsia="zh-CN" w:bidi="ar-SA"/>
        </w:rPr>
        <w:t>9</w:t>
      </w:r>
      <w:r>
        <w:rPr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right" w:leader="dot" w:pos="10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instrText xml:space="preserve"> HYPERLINK \l _Toc25273 </w:instrText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七．其他说明及注意事项</w:t>
      </w:r>
      <w:r>
        <w:rPr>
          <w:kern w:val="2"/>
          <w:sz w:val="24"/>
          <w:szCs w:val="24"/>
          <w:lang w:val="en-US" w:eastAsia="zh-CN" w:bidi="ar-SA"/>
        </w:rPr>
        <w:tab/>
      </w:r>
      <w:r>
        <w:rPr>
          <w:kern w:val="2"/>
          <w:sz w:val="24"/>
          <w:szCs w:val="24"/>
          <w:lang w:val="en-US" w:eastAsia="zh-CN" w:bidi="ar-SA"/>
        </w:rPr>
        <w:fldChar w:fldCharType="begin"/>
      </w:r>
      <w:r>
        <w:rPr>
          <w:kern w:val="2"/>
          <w:sz w:val="24"/>
          <w:szCs w:val="24"/>
          <w:lang w:val="en-US" w:eastAsia="zh-CN" w:bidi="ar-SA"/>
        </w:rPr>
        <w:instrText xml:space="preserve"> PAGEREF _Toc25273 </w:instrText>
      </w:r>
      <w:r>
        <w:rPr>
          <w:kern w:val="2"/>
          <w:sz w:val="24"/>
          <w:szCs w:val="24"/>
          <w:lang w:val="en-US" w:eastAsia="zh-CN" w:bidi="ar-SA"/>
        </w:rPr>
        <w:fldChar w:fldCharType="separate"/>
      </w:r>
      <w:r>
        <w:rPr>
          <w:kern w:val="2"/>
          <w:sz w:val="24"/>
          <w:szCs w:val="24"/>
          <w:lang w:val="en-US" w:eastAsia="zh-CN" w:bidi="ar-SA"/>
        </w:rPr>
        <w:t>10</w:t>
      </w:r>
      <w:r>
        <w:rPr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right" w:leader="dot" w:pos="10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instrText xml:space="preserve"> HYPERLINK \l _Toc19710 </w:instrText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八．配置清单</w:t>
      </w:r>
      <w:r>
        <w:rPr>
          <w:kern w:val="2"/>
          <w:sz w:val="24"/>
          <w:szCs w:val="24"/>
          <w:lang w:val="en-US" w:eastAsia="zh-CN" w:bidi="ar-SA"/>
        </w:rPr>
        <w:tab/>
      </w:r>
      <w:r>
        <w:rPr>
          <w:kern w:val="2"/>
          <w:sz w:val="24"/>
          <w:szCs w:val="24"/>
          <w:lang w:val="en-US" w:eastAsia="zh-CN" w:bidi="ar-SA"/>
        </w:rPr>
        <w:fldChar w:fldCharType="begin"/>
      </w:r>
      <w:r>
        <w:rPr>
          <w:kern w:val="2"/>
          <w:sz w:val="24"/>
          <w:szCs w:val="24"/>
          <w:lang w:val="en-US" w:eastAsia="zh-CN" w:bidi="ar-SA"/>
        </w:rPr>
        <w:instrText xml:space="preserve"> PAGEREF _Toc19710 </w:instrText>
      </w:r>
      <w:r>
        <w:rPr>
          <w:kern w:val="2"/>
          <w:sz w:val="24"/>
          <w:szCs w:val="24"/>
          <w:lang w:val="en-US" w:eastAsia="zh-CN" w:bidi="ar-SA"/>
        </w:rPr>
        <w:fldChar w:fldCharType="separate"/>
      </w:r>
      <w:r>
        <w:rPr>
          <w:kern w:val="2"/>
          <w:sz w:val="24"/>
          <w:szCs w:val="24"/>
          <w:lang w:val="en-US" w:eastAsia="zh-CN" w:bidi="ar-SA"/>
        </w:rPr>
        <w:t>10</w:t>
      </w:r>
      <w:r>
        <w:rPr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sz w:val="24"/>
          <w:szCs w:val="24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tabs>
          <w:tab w:val="right" w:leader="dot" w:pos="10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instrText xml:space="preserve"> HYPERLINK \l _Toc679 </w:instrText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t>附：测试接线参考图：</w:t>
      </w:r>
      <w:r>
        <w:rPr>
          <w:kern w:val="2"/>
          <w:sz w:val="24"/>
          <w:szCs w:val="24"/>
          <w:lang w:val="en-US" w:eastAsia="zh-CN" w:bidi="ar-SA"/>
        </w:rPr>
        <w:tab/>
      </w:r>
      <w:r>
        <w:rPr>
          <w:kern w:val="2"/>
          <w:sz w:val="24"/>
          <w:szCs w:val="24"/>
          <w:lang w:val="en-US" w:eastAsia="zh-CN" w:bidi="ar-SA"/>
        </w:rPr>
        <w:fldChar w:fldCharType="begin"/>
      </w:r>
      <w:r>
        <w:rPr>
          <w:kern w:val="2"/>
          <w:sz w:val="24"/>
          <w:szCs w:val="24"/>
          <w:lang w:val="en-US" w:eastAsia="zh-CN" w:bidi="ar-SA"/>
        </w:rPr>
        <w:instrText xml:space="preserve"> PAGEREF _Toc679 </w:instrText>
      </w:r>
      <w:r>
        <w:rPr>
          <w:kern w:val="2"/>
          <w:sz w:val="24"/>
          <w:szCs w:val="24"/>
          <w:lang w:val="en-US" w:eastAsia="zh-CN" w:bidi="ar-SA"/>
        </w:rPr>
        <w:fldChar w:fldCharType="separate"/>
      </w:r>
      <w:r>
        <w:rPr>
          <w:kern w:val="2"/>
          <w:sz w:val="24"/>
          <w:szCs w:val="24"/>
          <w:lang w:val="en-US" w:eastAsia="zh-CN" w:bidi="ar-SA"/>
        </w:rPr>
        <w:t>11</w:t>
      </w:r>
      <w:r>
        <w:rPr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b/>
          <w:sz w:val="48"/>
          <w:szCs w:val="48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 w:bidi="ar-SA"/>
        </w:rPr>
        <w:fldChar w:fldCharType="end"/>
      </w:r>
    </w:p>
    <w:p>
      <w:pPr>
        <w:spacing w:line="360" w:lineRule="exact"/>
        <w:jc w:val="both"/>
        <w:rPr>
          <w:rFonts w:hint="eastAsia" w:ascii="宋体" w:hAnsi="宋体"/>
          <w:b/>
          <w:sz w:val="44"/>
          <w:szCs w:val="44"/>
          <w:lang w:val="en-US" w:eastAsia="zh-CN"/>
        </w:rPr>
      </w:pPr>
    </w:p>
    <w:p>
      <w:pPr>
        <w:spacing w:line="360" w:lineRule="exact"/>
        <w:jc w:val="center"/>
        <w:rPr>
          <w:rFonts w:hint="eastAsia" w:ascii="宋体" w:hAnsi="宋体"/>
          <w:b/>
          <w:sz w:val="28"/>
          <w:szCs w:val="28"/>
        </w:rPr>
      </w:pPr>
      <w:bookmarkStart w:id="9" w:name="_GoBack"/>
      <w:bookmarkEnd w:id="9"/>
    </w:p>
    <w:p>
      <w:pPr>
        <w:spacing w:line="360" w:lineRule="exact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exact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exact"/>
        <w:jc w:val="center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exact"/>
        <w:jc w:val="both"/>
        <w:rPr>
          <w:rFonts w:hint="eastAsia" w:ascii="宋体" w:hAnsi="宋体"/>
          <w:b/>
          <w:sz w:val="28"/>
          <w:szCs w:val="28"/>
        </w:rPr>
      </w:pPr>
    </w:p>
    <w:p>
      <w:pPr>
        <w:spacing w:line="360" w:lineRule="exact"/>
        <w:jc w:val="both"/>
        <w:rPr>
          <w:rFonts w:hint="eastAsia" w:ascii="宋体" w:hAnsi="宋体"/>
          <w:b/>
          <w:sz w:val="28"/>
          <w:szCs w:val="28"/>
        </w:rPr>
      </w:pPr>
    </w:p>
    <w:p>
      <w:pPr>
        <w:tabs>
          <w:tab w:val="left" w:pos="0"/>
        </w:tabs>
        <w:spacing w:line="0" w:lineRule="atLeast"/>
        <w:outlineLvl w:val="0"/>
        <w:rPr>
          <w:rFonts w:hint="eastAsia" w:ascii="宋体" w:hAnsi="宋体"/>
          <w:sz w:val="28"/>
          <w:szCs w:val="28"/>
        </w:rPr>
      </w:pPr>
      <w:bookmarkStart w:id="0" w:name="_Toc27784"/>
      <w:r>
        <w:rPr>
          <w:rFonts w:hint="eastAsia" w:ascii="宋体" w:hAnsi="宋体"/>
          <w:b/>
          <w:sz w:val="28"/>
          <w:szCs w:val="28"/>
        </w:rPr>
        <w:t>一． 简介</w:t>
      </w:r>
      <w:bookmarkEnd w:id="0"/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Sun-Identity-H"/>
          <w:kern w:val="0"/>
          <w:sz w:val="24"/>
        </w:rPr>
      </w:pPr>
      <w:r>
        <w:rPr>
          <w:rFonts w:ascii="宋体" w:hAnsi="宋体" w:cs="Arial"/>
          <w:b/>
          <w:sz w:val="24"/>
        </w:rPr>
        <w:t>YTC2220</w:t>
      </w:r>
      <w:r>
        <w:rPr>
          <w:rFonts w:hint="eastAsia" w:ascii="宋体" w:hAnsi="宋体"/>
          <w:b/>
          <w:sz w:val="24"/>
        </w:rPr>
        <w:t>数字双钳相位伏安表</w:t>
      </w:r>
      <w:r>
        <w:rPr>
          <w:rFonts w:hint="eastAsia" w:ascii="宋体" w:hAnsi="宋体"/>
          <w:sz w:val="24"/>
        </w:rPr>
        <w:t>是我公司精心研制的又一款专为现场测试的多功能仪表，具有高精度、高稳定、低功耗、使用方便等特点。可以在被测回路不开路的情况下直接测量交流电压和交流电流，测量两电压间、两电流间和电压电流间的相位，此外，还可间接测得电路的功率因数和功率，可以判别三相相序，变压器接线组别、感性、容性电路，</w:t>
      </w:r>
      <w:r>
        <w:rPr>
          <w:rFonts w:hint="eastAsia" w:ascii="宋体" w:hAnsi="宋体" w:cs="SimSun-Identity-H"/>
          <w:kern w:val="0"/>
          <w:sz w:val="24"/>
        </w:rPr>
        <w:t>测试二次回路和母差保护系统，读出差动保护各组</w:t>
      </w:r>
      <w:r>
        <w:rPr>
          <w:rFonts w:ascii="宋体" w:hAnsi="宋体" w:cs="TimesNewRomanPSMT-Identity-H"/>
          <w:kern w:val="0"/>
          <w:sz w:val="24"/>
        </w:rPr>
        <w:t>CT</w:t>
      </w:r>
      <w:r>
        <w:rPr>
          <w:rFonts w:hint="eastAsia" w:ascii="宋体" w:hAnsi="宋体" w:cs="SimSun-Identity-H"/>
          <w:kern w:val="0"/>
          <w:sz w:val="24"/>
        </w:rPr>
        <w:t>之间的相位关系，检查电度表的接线正确与否，检修线路设备等。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 w:cs="Arial"/>
          <w:b/>
          <w:sz w:val="24"/>
        </w:rPr>
        <w:t>YTC2220</w:t>
      </w:r>
      <w:r>
        <w:rPr>
          <w:rFonts w:hint="eastAsia" w:ascii="宋体" w:hAnsi="宋体"/>
          <w:b/>
          <w:sz w:val="24"/>
        </w:rPr>
        <w:t>数字双钳相位伏安表</w:t>
      </w:r>
      <w:r>
        <w:rPr>
          <w:rFonts w:hint="eastAsia" w:ascii="宋体" w:hAnsi="宋体"/>
          <w:sz w:val="24"/>
        </w:rPr>
        <w:t>采用超大LCD显示屏，字高达40mm，还具有蓝屏背光，显示一目了然，尽显精美豪华外观。</w:t>
      </w: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/>
          <w:sz w:val="24"/>
        </w:rPr>
      </w:pPr>
      <w:r>
        <w:rPr>
          <w:rFonts w:ascii="宋体" w:hAnsi="宋体" w:cs="Arial"/>
          <w:b/>
          <w:sz w:val="24"/>
        </w:rPr>
        <w:t>YTC2220</w:t>
      </w:r>
      <w:r>
        <w:rPr>
          <w:rFonts w:hint="eastAsia" w:ascii="宋体" w:hAnsi="宋体"/>
          <w:b/>
          <w:sz w:val="24"/>
        </w:rPr>
        <w:t>数字双钳相位伏安表</w:t>
      </w:r>
      <w:r>
        <w:rPr>
          <w:rFonts w:hint="eastAsia" w:ascii="宋体" w:hAnsi="宋体"/>
          <w:sz w:val="24"/>
        </w:rPr>
        <w:t>适用于电力、石油化工、冶金、铁路、气象、工矿企业、科研院校、计量部门等。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cs="SimSun-Identity-H"/>
          <w:kern w:val="0"/>
          <w:sz w:val="24"/>
        </w:rPr>
      </w:pPr>
    </w:p>
    <w:p>
      <w:pPr>
        <w:tabs>
          <w:tab w:val="left" w:pos="540"/>
        </w:tabs>
        <w:outlineLvl w:val="0"/>
        <w:rPr>
          <w:rFonts w:hint="eastAsia" w:ascii="宋体" w:hAnsi="宋体"/>
          <w:b/>
          <w:sz w:val="28"/>
          <w:szCs w:val="28"/>
        </w:rPr>
      </w:pPr>
      <w:bookmarkStart w:id="1" w:name="_Toc29763"/>
      <w:r>
        <w:rPr>
          <w:rFonts w:hint="eastAsia" w:ascii="宋体" w:hAnsi="宋体"/>
          <w:b/>
          <w:sz w:val="28"/>
          <w:szCs w:val="28"/>
        </w:rPr>
        <w:t>二．电气符号</w:t>
      </w:r>
      <w:bookmarkEnd w:id="1"/>
    </w:p>
    <w:tbl>
      <w:tblPr>
        <w:tblStyle w:val="15"/>
        <w:tblW w:w="10260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9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 w:cs="Arial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pict>
                <v:shape id="_x0000_s1031" o:spid="_x0000_s1031" o:spt="75" type="#_x0000_t75" style="position:absolute;left:0pt;margin-left:15.75pt;margin-top:10.65pt;height:12.45pt;width:12.45pt;z-index:251662336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2" grayscale="f" bilevel="f" o:title=""/>
                  <o:lock v:ext="edit" aspectratio="t"/>
                </v:shape>
                <o:OLEObject Type="Embed" ProgID="" ShapeID="_x0000_s1031" DrawAspect="Content" ObjectID="_1468075727" r:id="rId11">
                  <o:LockedField>false</o:LockedField>
                </o:OLEObject>
              </w:pict>
            </w:r>
          </w:p>
        </w:tc>
        <w:tc>
          <w:tcPr>
            <w:tcW w:w="91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 w:cs="Arial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极其危险！操作者必须严格遵守安全规则，否则有电击危险，造成人身伤害或伤亡事故。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pict>
                <v:shape id="_x0000_s1032" o:spid="_x0000_s1032" o:spt="75" type="#_x0000_t75" style="position:absolute;left:0pt;margin-left:15.25pt;margin-top:-0.35pt;height:13.3pt;width:14.85pt;z-index:251660288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4" grayscale="f" bilevel="f" o:title=""/>
                  <o:lock v:ext="edit" aspectratio="t"/>
                </v:shape>
                <o:OLEObject Type="Embed" ProgID="" ShapeID="_x0000_s1032" DrawAspect="Content" ObjectID="_1468075728" r:id="rId13">
                  <o:LockedField>false</o:LockedField>
                </o:OLEObject>
              </w:pict>
            </w:r>
          </w:p>
        </w:tc>
        <w:tc>
          <w:tcPr>
            <w:tcW w:w="91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 w:cs="Arial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危险！操作者必须严格遵守安全规则，否则有电击危险，造成人身伤害或伤亡事故。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 w:cs="Arial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pict>
                <v:shape id="_x0000_s1033" o:spid="_x0000_s1033" o:spt="75" type="#_x0000_t75" style="position:absolute;left:0pt;margin-left:15.15pt;margin-top:-0.4pt;height:12.9pt;width:14.75pt;z-index:251661312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6" grayscale="f" bilevel="f" o:title=""/>
                  <o:lock v:ext="edit" aspectratio="t"/>
                </v:shape>
                <o:OLEObject Type="Embed" ProgID="" ShapeID="_x0000_s1033" DrawAspect="Content" ObjectID="_1468075729" r:id="rId15">
                  <o:LockedField>false</o:LockedField>
                </o:OLEObject>
              </w:pict>
            </w:r>
          </w:p>
        </w:tc>
        <w:tc>
          <w:tcPr>
            <w:tcW w:w="91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 w:cs="Arial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警告！必须严格遵守安全规则，否则造成人身伤害或设备损坏。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 w:cs="Arial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pict>
                <v:shape id="_x0000_s1034" o:spid="_x0000_s1034" o:spt="75" type="#_x0000_t75" style="position:absolute;left:0pt;margin-left:14.75pt;margin-top:2.8pt;height:7.35pt;width:13.15pt;z-index:251664384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8" grayscale="f" bilevel="f" o:title=""/>
                  <o:lock v:ext="edit" aspectratio="t"/>
                </v:shape>
                <o:OLEObject Type="Embed" ProgID="" ShapeID="_x0000_s1034" DrawAspect="Content" ObjectID="_1468075730" r:id="rId17">
                  <o:LockedField>false</o:LockedField>
                </o:OLEObject>
              </w:pict>
            </w:r>
          </w:p>
        </w:tc>
        <w:tc>
          <w:tcPr>
            <w:tcW w:w="91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交流（AC）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 w:cs="Arial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13970</wp:posOffset>
                  </wp:positionV>
                  <wp:extent cx="160020" cy="121285"/>
                  <wp:effectExtent l="0" t="0" r="11430" b="12065"/>
                  <wp:wrapNone/>
                  <wp:docPr id="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Arial"/>
                <w:sz w:val="24"/>
              </w:rPr>
              <w:t>直流（DC）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13970</wp:posOffset>
                  </wp:positionV>
                  <wp:extent cx="114300" cy="114300"/>
                  <wp:effectExtent l="0" t="0" r="0" b="0"/>
                  <wp:wrapNone/>
                  <wp:docPr id="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双重绝缘 </w:t>
            </w:r>
          </w:p>
        </w:tc>
      </w:tr>
    </w:tbl>
    <w:p>
      <w:pPr>
        <w:tabs>
          <w:tab w:val="left" w:pos="540"/>
        </w:tabs>
        <w:outlineLvl w:val="0"/>
        <w:rPr>
          <w:rFonts w:hint="eastAsia" w:ascii="宋体" w:hAnsi="宋体"/>
          <w:b/>
          <w:sz w:val="28"/>
          <w:szCs w:val="28"/>
        </w:rPr>
      </w:pPr>
      <w:bookmarkStart w:id="2" w:name="_Toc16475"/>
      <w:r>
        <w:rPr>
          <w:rFonts w:hint="eastAsia" w:ascii="宋体" w:hAnsi="宋体"/>
          <w:b/>
          <w:sz w:val="28"/>
          <w:szCs w:val="28"/>
        </w:rPr>
        <w:t>三．技术规格</w:t>
      </w:r>
      <w:bookmarkEnd w:id="2"/>
    </w:p>
    <w:p>
      <w:pPr>
        <w:ind w:firstLine="560" w:firstLineChars="200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1．基准条件和工作条件</w:t>
      </w:r>
    </w:p>
    <w:tbl>
      <w:tblPr>
        <w:tblStyle w:val="15"/>
        <w:tblW w:w="9540" w:type="dxa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1980"/>
        <w:gridCol w:w="2700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影响量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基准条件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工作条件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环境温度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23℃±1℃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-10℃～40℃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</w:trPr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环境湿渡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40%～60%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＜80%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信号波形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正弦波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正弦波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Arial"/>
                <w:sz w:val="24"/>
              </w:rPr>
              <w:t>β=0.05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信号频率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50HZ±1HZ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45HZ～65HZ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仪表工作电压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9V±0.1V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9V±1V</w:t>
            </w:r>
          </w:p>
        </w:tc>
        <w:tc>
          <w:tcPr>
            <w:tcW w:w="27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外电场、磁场</w:t>
            </w:r>
          </w:p>
        </w:tc>
        <w:tc>
          <w:tcPr>
            <w:tcW w:w="738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应避免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16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被测导线位置</w:t>
            </w:r>
          </w:p>
        </w:tc>
        <w:tc>
          <w:tcPr>
            <w:tcW w:w="738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被测导线处于钳口的近似几何中心位置</w:t>
            </w:r>
          </w:p>
        </w:tc>
      </w:tr>
    </w:tbl>
    <w:p>
      <w:pPr>
        <w:tabs>
          <w:tab w:val="left" w:pos="540"/>
        </w:tabs>
        <w:ind w:firstLine="548" w:firstLineChars="196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2．一般规格</w:t>
      </w:r>
    </w:p>
    <w:tbl>
      <w:tblPr>
        <w:tblStyle w:val="15"/>
        <w:tblW w:w="9540" w:type="dxa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7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功    能</w:t>
            </w: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相位、交流电流、交流电压、交流漏电流、相序直接测试；变压器组别、感性、容性电路判别；功率因数、功率间接测试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电    源</w:t>
            </w: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DC9V 碱性干电池（1.5V AA×6）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restart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功    耗</w:t>
            </w: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开启背光灯最大约35mA,电池连续工作约40小时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关闭背光灯,仪表耗电约15mA,电池连续工作约200小时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显示模式</w:t>
            </w: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LCD显示，蓝屏背光功能，适合昏暗场所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LCD尺寸</w:t>
            </w: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70mm×62mm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LCD显示域</w:t>
            </w: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64mm×54mm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仪表尺寸</w:t>
            </w: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长宽厚：</w:t>
            </w: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9</w:t>
            </w:r>
            <w:r>
              <w:rPr>
                <w:rFonts w:ascii="宋体" w:hAnsi="宋体"/>
                <w:sz w:val="24"/>
              </w:rPr>
              <w:t>6</w:t>
            </w:r>
            <w:r>
              <w:rPr>
                <w:rFonts w:hint="eastAsia" w:ascii="宋体" w:hAnsi="宋体"/>
                <w:sz w:val="24"/>
              </w:rPr>
              <w:t>mm</w:t>
            </w:r>
            <w:r>
              <w:rPr>
                <w:rFonts w:ascii="宋体" w:hAnsi="宋体"/>
                <w:sz w:val="24"/>
              </w:rPr>
              <w:t>×</w:t>
            </w:r>
            <w:r>
              <w:rPr>
                <w:rFonts w:hint="eastAsia" w:ascii="宋体" w:hAnsi="宋体"/>
                <w:sz w:val="24"/>
              </w:rPr>
              <w:t>92mm</w:t>
            </w:r>
            <w:r>
              <w:rPr>
                <w:rFonts w:ascii="宋体" w:hAnsi="宋体"/>
                <w:sz w:val="24"/>
              </w:rPr>
              <w:t>×</w:t>
            </w:r>
            <w:r>
              <w:rPr>
                <w:rFonts w:hint="eastAsia" w:ascii="宋体" w:hAnsi="宋体"/>
                <w:sz w:val="24"/>
              </w:rPr>
              <w:t>54</w:t>
            </w:r>
            <w:r>
              <w:rPr>
                <w:rFonts w:ascii="宋体" w:hAnsi="宋体"/>
                <w:sz w:val="24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钳口尺寸</w:t>
            </w: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φ7.5mm×13mm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采样速率</w:t>
            </w:r>
          </w:p>
        </w:tc>
        <w:tc>
          <w:tcPr>
            <w:tcW w:w="7560" w:type="dxa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约3次/秒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量    程</w:t>
            </w:r>
          </w:p>
        </w:tc>
        <w:tc>
          <w:tcPr>
            <w:tcW w:w="75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交流电压：</w:t>
            </w:r>
            <w:r>
              <w:rPr>
                <w:rFonts w:ascii="宋体" w:hAnsi="宋体"/>
                <w:sz w:val="24"/>
              </w:rPr>
              <w:t>0</w:t>
            </w:r>
            <w:r>
              <w:rPr>
                <w:rFonts w:hint="eastAsia" w:ascii="宋体" w:hAnsi="宋体"/>
                <w:sz w:val="24"/>
              </w:rPr>
              <w:t>～20V/</w:t>
            </w:r>
            <w:r>
              <w:rPr>
                <w:rFonts w:ascii="宋体" w:hAnsi="宋体"/>
                <w:sz w:val="24"/>
              </w:rPr>
              <w:t>200V/500V</w:t>
            </w:r>
            <w:r>
              <w:rPr>
                <w:rFonts w:hint="eastAsia" w:ascii="宋体" w:hAnsi="宋体"/>
                <w:sz w:val="24"/>
              </w:rPr>
              <w:t>；</w:t>
            </w:r>
          </w:p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交流电流：0～200mA/2A/10A；</w:t>
            </w:r>
          </w:p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相位：</w:t>
            </w:r>
            <w:r>
              <w:rPr>
                <w:rFonts w:ascii="宋体" w:hAnsi="宋体"/>
                <w:sz w:val="24"/>
              </w:rPr>
              <w:t>0</w:t>
            </w:r>
            <w:r>
              <w:rPr>
                <w:rFonts w:hint="eastAsia" w:ascii="宋体" w:hAnsi="宋体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>360°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测量相位时被测信号的幅值范围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测U1-U2相位时：30V～500V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测I1-I2相位时：10mA～10.00A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测U1-I2或I1-U2相位时：10V～500V、10mA～10.00A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数据保持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测试中按</w:t>
            </w:r>
            <w:r>
              <w:rPr>
                <w:rFonts w:hint="eastAsia" w:ascii="宋体" w:hAnsi="宋体"/>
                <w:b/>
                <w:sz w:val="24"/>
                <w:bdr w:val="single" w:color="auto" w:sz="4" w:space="0"/>
                <w:shd w:val="pct10" w:color="auto" w:fill="FFFFFF"/>
              </w:rPr>
              <w:t>HOLD</w:t>
            </w:r>
            <w:r>
              <w:rPr>
                <w:rFonts w:hint="eastAsia" w:ascii="宋体" w:hAnsi="宋体"/>
                <w:sz w:val="24"/>
              </w:rPr>
              <w:t>键保持数据，“</w:t>
            </w:r>
            <w:r>
              <w:rPr>
                <w:rFonts w:hint="eastAsia" w:ascii="宋体" w:hAnsi="宋体"/>
                <w:b/>
                <w:sz w:val="24"/>
                <w:bdr w:val="single" w:color="auto" w:sz="4" w:space="0"/>
              </w:rPr>
              <w:t>DH</w:t>
            </w:r>
            <w:r>
              <w:rPr>
                <w:rFonts w:hint="eastAsia" w:ascii="宋体" w:hAnsi="宋体"/>
                <w:sz w:val="24"/>
              </w:rPr>
              <w:t>”符号显示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自动关机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开机约15分钟后，仪表自动关机，以降低电池消耗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电压检测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pict>
                <v:shape id="_x0000_s1037" o:spid="_x0000_s1037" o:spt="75" type="#_x0000_t75" style="position:absolute;left:0pt;margin-left:259.05pt;margin-top:1.3pt;height:10.75pt;width:19.65pt;z-index:251675648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22" grayscale="f" bilevel="f" o:title=""/>
                  <o:lock v:ext="edit" aspectratio="t"/>
                </v:shape>
                <o:OLEObject Type="Embed" ProgID="" ShapeID="_x0000_s1037" DrawAspect="Content" ObjectID="_1468075731" r:id="rId21">
                  <o:LockedField>false</o:LockedField>
                </o:OLEObject>
              </w:pict>
            </w:r>
            <w:r>
              <w:rPr>
                <w:rFonts w:hint="eastAsia" w:ascii="宋体" w:hAnsi="宋体"/>
                <w:sz w:val="24"/>
              </w:rPr>
              <w:t xml:space="preserve">当电池电压低于7.8V～8V时，电池电压低符号“    ”显示，提醒更换电池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仪表质量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主机约550</w:t>
            </w:r>
            <w:r>
              <w:rPr>
                <w:rFonts w:ascii="宋体" w:hAnsi="宋体"/>
                <w:sz w:val="24"/>
              </w:rPr>
              <w:t>g</w:t>
            </w:r>
            <w:r>
              <w:rPr>
                <w:rFonts w:hint="eastAsia" w:ascii="宋体" w:hAnsi="宋体"/>
                <w:sz w:val="24"/>
              </w:rPr>
              <w:t>（带电池），表钳约170g×2，测试线约250g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测试线长度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电流钳线长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工作温湿度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-10℃～40℃； 80%Rh以下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存放温湿度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-10℃～60℃； 70%Rh以下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输入阻抗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测试电压各档输入阻抗为：2MΩ；</w:t>
            </w:r>
          </w:p>
          <w:p>
            <w:pPr>
              <w:tabs>
                <w:tab w:val="left" w:pos="360"/>
                <w:tab w:val="left" w:pos="540"/>
              </w:tabs>
              <w:spacing w:line="0" w:lineRule="atLeas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测U1U2相位时电压输入阻抗为：40KΩ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耐    压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仪表线路与外壳间耐受1000V/50Hz的正弦波交流电压历时1分钟；</w:t>
            </w:r>
          </w:p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两电压输入端之间能承受500V/50Hz的正弦波交流电压历时 1分钟的试验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绝    缘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仪表线路与外壳之间、两电压输入端之间≥10MΩ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结    构</w:t>
            </w:r>
          </w:p>
        </w:tc>
        <w:tc>
          <w:tcPr>
            <w:tcW w:w="75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双重绝缘</w:t>
            </w:r>
          </w:p>
        </w:tc>
      </w:tr>
    </w:tbl>
    <w:p>
      <w:pPr>
        <w:widowControl/>
        <w:jc w:val="left"/>
        <w:rPr>
          <w:rFonts w:hint="eastAsia" w:ascii="宋体" w:hAnsi="宋体"/>
          <w:b/>
          <w:sz w:val="24"/>
        </w:rPr>
      </w:pPr>
    </w:p>
    <w:p>
      <w:pPr>
        <w:widowControl/>
        <w:ind w:firstLine="548" w:firstLineChars="196"/>
        <w:jc w:val="left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3．基准条件下基本误差及性能指标</w:t>
      </w:r>
    </w:p>
    <w:tbl>
      <w:tblPr>
        <w:tblStyle w:val="15"/>
        <w:tblW w:w="9540" w:type="dxa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2340"/>
        <w:gridCol w:w="2340"/>
        <w:gridCol w:w="3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类 别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量 程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分辨率</w:t>
            </w:r>
          </w:p>
        </w:tc>
        <w:tc>
          <w:tcPr>
            <w:tcW w:w="30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基本误差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Merge w:val="restart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 压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20V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0.01V</w:t>
            </w:r>
          </w:p>
        </w:tc>
        <w:tc>
          <w:tcPr>
            <w:tcW w:w="3060" w:type="dxa"/>
            <w:vMerge w:val="restart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±(1.2%rdg+2dgt)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200V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0.1V</w:t>
            </w:r>
          </w:p>
        </w:tc>
        <w:tc>
          <w:tcPr>
            <w:tcW w:w="3060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500V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1V</w:t>
            </w:r>
          </w:p>
        </w:tc>
        <w:tc>
          <w:tcPr>
            <w:tcW w:w="3060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Merge w:val="restart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 流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200mA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0.1mA</w:t>
            </w:r>
          </w:p>
        </w:tc>
        <w:tc>
          <w:tcPr>
            <w:tcW w:w="3060" w:type="dxa"/>
            <w:vMerge w:val="restart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±(1.0%rdg+2dgt)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2A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1mA</w:t>
            </w:r>
          </w:p>
        </w:tc>
        <w:tc>
          <w:tcPr>
            <w:tcW w:w="3060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10A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10mA</w:t>
            </w:r>
          </w:p>
        </w:tc>
        <w:tc>
          <w:tcPr>
            <w:tcW w:w="3060" w:type="dxa"/>
            <w:vMerge w:val="continue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相 位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0～360°</w:t>
            </w:r>
          </w:p>
        </w:tc>
        <w:tc>
          <w:tcPr>
            <w:tcW w:w="23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1°</w:t>
            </w:r>
          </w:p>
        </w:tc>
        <w:tc>
          <w:tcPr>
            <w:tcW w:w="30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±3</w:t>
            </w:r>
            <w:r>
              <w:rPr>
                <w:rFonts w:ascii="宋体" w:hAnsi="宋体"/>
                <w:sz w:val="24"/>
              </w:rPr>
              <w:t>°</w:t>
            </w:r>
          </w:p>
        </w:tc>
      </w:tr>
    </w:tbl>
    <w:p>
      <w:pPr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b/>
          <w:sz w:val="24"/>
        </w:rPr>
      </w:pPr>
      <w:r>
        <w:rPr>
          <w:rFonts w:ascii="宋体" w:hAnsi="宋体"/>
          <w:sz w:val="28"/>
          <w:szCs w:val="28"/>
        </w:rPr>
        <w:pict>
          <v:shape id="_x0000_s1038" o:spid="_x0000_s1038" o:spt="75" type="#_x0000_t75" style="position:absolute;left:0pt;margin-left:198pt;margin-top:0.9pt;height:259.25pt;width:297pt;z-index:251689984;mso-width-relative:page;mso-height-relative:page;" o:ole="t" filled="f" o:preferrelative="t" stroked="f" coordsize="21600,21600">
            <v:path/>
            <v:fill on="f" alignshape="1" focussize="0,0"/>
            <v:stroke on="f"/>
            <v:imagedata r:id="rId24" grayscale="f" bilevel="f" o:title=""/>
            <o:lock v:ext="edit" aspectratio="t"/>
          </v:shape>
          <o:OLEObject Type="Embed" ProgID="" ShapeID="_x0000_s1038" DrawAspect="Content" ObjectID="_1468075732" r:id="rId23">
            <o:LockedField>false</o:LockedField>
          </o:OLEObject>
        </w:pict>
      </w:r>
    </w:p>
    <w:p>
      <w:pPr>
        <w:outlineLvl w:val="0"/>
        <w:rPr>
          <w:rFonts w:hint="eastAsia" w:ascii="宋体" w:hAnsi="宋体"/>
          <w:b/>
          <w:sz w:val="28"/>
          <w:szCs w:val="28"/>
        </w:rPr>
      </w:pPr>
      <w:bookmarkStart w:id="3" w:name="_Toc11690"/>
      <w:r>
        <w:rPr>
          <w:rFonts w:hint="eastAsia" w:ascii="宋体" w:hAnsi="宋体"/>
          <w:b/>
          <w:sz w:val="28"/>
          <w:szCs w:val="28"/>
        </w:rPr>
        <w:t>四．仪表结构</w:t>
      </w:r>
      <w:bookmarkEnd w:id="3"/>
    </w:p>
    <w:p>
      <w:pPr>
        <w:ind w:firstLine="355" w:firstLineChars="148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1．</w:t>
      </w:r>
      <w:r>
        <w:rPr>
          <w:rFonts w:hint="eastAsia" w:ascii="宋体" w:hAnsi="宋体"/>
          <w:sz w:val="24"/>
        </w:rPr>
        <w:t xml:space="preserve">绝缘防振护套          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2.</w:t>
      </w:r>
      <w:r>
        <w:rPr>
          <w:rFonts w:hint="eastAsia" w:ascii="宋体" w:hAnsi="宋体"/>
          <w:sz w:val="24"/>
        </w:rPr>
        <w:t xml:space="preserve">LCD显示器       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3.</w:t>
      </w:r>
      <w:r>
        <w:rPr>
          <w:rFonts w:hint="eastAsia" w:ascii="宋体" w:hAnsi="宋体"/>
          <w:sz w:val="24"/>
        </w:rPr>
        <w:t>钳口（Φ7.5mm×13mm</w:t>
      </w:r>
      <w:r>
        <w:rPr>
          <w:rFonts w:ascii="宋体" w:hAnsi="宋体"/>
          <w:sz w:val="24"/>
        </w:rPr>
        <w:t>）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4.</w:t>
      </w:r>
      <w:r>
        <w:rPr>
          <w:rFonts w:hint="eastAsia" w:ascii="宋体" w:hAnsi="宋体"/>
          <w:sz w:val="24"/>
        </w:rPr>
        <w:t xml:space="preserve">电流钳                 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5.</w:t>
      </w:r>
      <w:r>
        <w:rPr>
          <w:rFonts w:hint="eastAsia" w:ascii="宋体" w:hAnsi="宋体"/>
          <w:sz w:val="24"/>
        </w:rPr>
        <w:t xml:space="preserve">开机ON键        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6.</w:t>
      </w:r>
      <w:r>
        <w:rPr>
          <w:rFonts w:hint="eastAsia" w:ascii="宋体" w:hAnsi="宋体"/>
          <w:sz w:val="24"/>
        </w:rPr>
        <w:t xml:space="preserve">关机OFF键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7.</w:t>
      </w:r>
      <w:r>
        <w:rPr>
          <w:rFonts w:hint="eastAsia" w:ascii="宋体" w:hAnsi="宋体"/>
          <w:sz w:val="24"/>
        </w:rPr>
        <w:t xml:space="preserve">数据保持HOLD键        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8.</w:t>
      </w:r>
      <w:r>
        <w:rPr>
          <w:rFonts w:hint="eastAsia" w:ascii="宋体" w:hAnsi="宋体"/>
          <w:sz w:val="24"/>
        </w:rPr>
        <w:t xml:space="preserve">背光灯键         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9</w:t>
      </w:r>
      <w:r>
        <w:rPr>
          <w:rFonts w:hint="eastAsia" w:ascii="宋体" w:hAnsi="宋体"/>
          <w:sz w:val="24"/>
        </w:rPr>
        <w:t>.功能旋转开关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10.</w:t>
      </w:r>
      <w:r>
        <w:rPr>
          <w:rFonts w:hint="eastAsia" w:ascii="宋体" w:hAnsi="宋体"/>
          <w:sz w:val="24"/>
        </w:rPr>
        <w:t xml:space="preserve">电压输入插孔（2路）   </w:t>
      </w:r>
    </w:p>
    <w:p>
      <w:pPr>
        <w:ind w:firstLine="360" w:firstLineChars="15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11.</w:t>
      </w:r>
      <w:r>
        <w:rPr>
          <w:rFonts w:hint="eastAsia" w:ascii="宋体" w:hAnsi="宋体"/>
          <w:sz w:val="24"/>
        </w:rPr>
        <w:t xml:space="preserve">电流钳引线      </w:t>
      </w:r>
      <w:r>
        <w:rPr>
          <w:rFonts w:hint="eastAsia" w:ascii="宋体" w:hAnsi="宋体"/>
          <w:b/>
          <w:sz w:val="24"/>
        </w:rPr>
        <w:t xml:space="preserve">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12.</w:t>
      </w:r>
      <w:r>
        <w:rPr>
          <w:rFonts w:hint="eastAsia" w:ascii="宋体" w:hAnsi="宋体"/>
          <w:sz w:val="24"/>
        </w:rPr>
        <w:t>电流钳输入孔（2路）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13．</w:t>
      </w:r>
      <w:r>
        <w:rPr>
          <w:rFonts w:hint="eastAsia" w:ascii="宋体" w:hAnsi="宋体"/>
          <w:sz w:val="24"/>
        </w:rPr>
        <w:t>测试线</w:t>
      </w:r>
    </w:p>
    <w:p>
      <w:pPr>
        <w:rPr>
          <w:rFonts w:hint="eastAsia" w:ascii="宋体" w:hAnsi="宋体"/>
          <w:b/>
          <w:sz w:val="24"/>
        </w:rPr>
      </w:pPr>
    </w:p>
    <w:p>
      <w:pPr>
        <w:outlineLvl w:val="0"/>
        <w:rPr>
          <w:rFonts w:hint="eastAsia" w:ascii="宋体" w:hAnsi="宋体"/>
          <w:sz w:val="28"/>
          <w:szCs w:val="28"/>
        </w:rPr>
      </w:pPr>
      <w:bookmarkStart w:id="4" w:name="_Toc16039"/>
      <w:r>
        <w:rPr>
          <w:rFonts w:hint="eastAsia" w:ascii="宋体" w:hAnsi="宋体"/>
          <w:b/>
          <w:sz w:val="28"/>
          <w:szCs w:val="28"/>
        </w:rPr>
        <w:t>五．操作方法</w:t>
      </w:r>
      <w:bookmarkEnd w:id="4"/>
    </w:p>
    <w:tbl>
      <w:tblPr>
        <w:tblStyle w:val="15"/>
        <w:tblW w:w="10080" w:type="dxa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restart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pict>
                <v:shape id="_x0000_s1039" o:spid="_x0000_s1039" o:spt="75" type="#_x0000_t75" style="position:absolute;left:0pt;margin-left:-0.35pt;margin-top:6.85pt;height:22.45pt;width:25.65pt;z-index:251668480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6" grayscale="f" bilevel="f" o:title=""/>
                  <o:lock v:ext="edit" aspectratio="t"/>
                </v:shape>
                <o:OLEObject Type="Embed" ProgID="" ShapeID="_x0000_s1039" DrawAspect="Content" ObjectID="_1468075733" r:id="rId25">
                  <o:LockedField>false</o:LockedField>
                </o:OLEObject>
              </w:pict>
            </w: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使用前先仔细检查仪表所有部件是否有损坏，没有任何损坏才能使用。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危险场所禁止使用本仪表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按手册说明安装电池。</w:t>
            </w:r>
          </w:p>
        </w:tc>
      </w:tr>
    </w:tbl>
    <w:p>
      <w:pPr>
        <w:ind w:firstLine="235" w:firstLineChars="98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1．开关机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按</w:t>
      </w:r>
      <w:r>
        <w:rPr>
          <w:rFonts w:hint="eastAsia" w:ascii="宋体" w:hAnsi="宋体"/>
          <w:b/>
          <w:sz w:val="24"/>
        </w:rPr>
        <w:t>ON</w:t>
      </w:r>
      <w:r>
        <w:rPr>
          <w:rFonts w:hint="eastAsia" w:ascii="宋体" w:hAnsi="宋体"/>
          <w:sz w:val="24"/>
        </w:rPr>
        <w:t>键开机，LCD显示。按</w:t>
      </w:r>
      <w:r>
        <w:rPr>
          <w:rFonts w:hint="eastAsia" w:ascii="宋体" w:hAnsi="宋体"/>
          <w:b/>
          <w:sz w:val="24"/>
        </w:rPr>
        <w:t>OFF</w:t>
      </w:r>
      <w:r>
        <w:rPr>
          <w:rFonts w:hint="eastAsia" w:ascii="宋体" w:hAnsi="宋体"/>
          <w:sz w:val="24"/>
        </w:rPr>
        <w:t>键关机，仪表开机约15分钟后会自动关机。</w:t>
      </w:r>
    </w:p>
    <w:p>
      <w:pPr>
        <w:ind w:firstLine="235" w:firstLineChars="98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2．数据保持/取消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按</w:t>
      </w:r>
      <w:r>
        <w:rPr>
          <w:rFonts w:hint="eastAsia" w:ascii="宋体" w:hAnsi="宋体"/>
          <w:b/>
          <w:sz w:val="24"/>
        </w:rPr>
        <w:t>HOLD</w:t>
      </w:r>
      <w:r>
        <w:rPr>
          <w:rFonts w:hint="eastAsia" w:ascii="宋体" w:hAnsi="宋体"/>
          <w:sz w:val="24"/>
        </w:rPr>
        <w:t>键可以保持显示数据或取消保持。</w:t>
      </w:r>
    </w:p>
    <w:p>
      <w:pPr>
        <w:ind w:firstLine="235" w:firstLineChars="98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3．背光灯控制</w:t>
      </w:r>
    </w:p>
    <w:p>
      <w:pPr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pict>
          <v:shape id="_x0000_s1040" o:spid="_x0000_s1040" o:spt="75" type="#_x0000_t75" style="position:absolute;left:0pt;margin-left:92.25pt;margin-top:2.25pt;height:12.2pt;width:13.15pt;z-index:251666432;mso-width-relative:page;mso-height-relative:page;" o:ole="t" filled="f" o:preferrelative="t" stroked="f" coordsize="21600,21600">
            <v:path/>
            <v:fill on="f" alignshape="1" focussize="0,0"/>
            <v:stroke on="f"/>
            <v:imagedata r:id="rId27" grayscale="f" bilevel="f" o:title=""/>
            <o:lock v:ext="edit" aspectratio="t"/>
          </v:shape>
          <o:OLEObject Type="Embed" ProgID="" ShapeID="_x0000_s1040" DrawAspect="Content" ObjectID="_1468075734" r:id="rId26">
            <o:LockedField>false</o:LockedField>
          </o:OLEObject>
        </w:pict>
      </w:r>
      <w:r>
        <w:rPr>
          <w:rFonts w:hint="eastAsia" w:ascii="宋体" w:hAnsi="宋体"/>
          <w:sz w:val="24"/>
        </w:rPr>
        <w:t xml:space="preserve">     开机后，按   键能控制背光灯，适合于昏暗场所。</w:t>
      </w:r>
    </w:p>
    <w:tbl>
      <w:tblPr>
        <w:tblStyle w:val="15"/>
        <w:tblW w:w="10080" w:type="dxa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restart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 w:cs="Arial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178435</wp:posOffset>
                  </wp:positionV>
                  <wp:extent cx="295275" cy="295275"/>
                  <wp:effectExtent l="0" t="0" r="9525" b="9525"/>
                  <wp:wrapNone/>
                  <wp:docPr id="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 w:cs="Arial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有电，危险！必须由经培训并取得授权资格的人员操作，操作者必须严格遵守安全规则，否则有电击的危险，造成人身伤害或设备损坏。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危险！不能用于测量超过500V的电压线路，否则有电击危险，造成人身伤害或设备损坏。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危险！不能用于测量超过20A的线路。否则有电击危险，造成人身伤害或设备损坏。</w:t>
            </w:r>
          </w:p>
        </w:tc>
      </w:tr>
    </w:tbl>
    <w:p>
      <w:pPr>
        <w:rPr>
          <w:rFonts w:hint="eastAsia" w:ascii="宋体" w:hAnsi="宋体"/>
          <w:sz w:val="24"/>
        </w:rPr>
      </w:pPr>
    </w:p>
    <w:tbl>
      <w:tblPr>
        <w:tblStyle w:val="15"/>
        <w:tblW w:w="10080" w:type="dxa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restart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pict>
                <v:shape id="_x0000_s1042" o:spid="_x0000_s1042" o:spt="75" type="#_x0000_t75" style="position:absolute;left:0pt;margin-left:0.2pt;margin-top:16.2pt;height:21.35pt;width:23.85pt;z-index:251667456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4" grayscale="f" bilevel="f" o:title=""/>
                  <o:lock v:ext="edit" aspectratio="t"/>
                </v:shape>
                <o:OLEObject Type="Embed" ProgID="" ShapeID="_x0000_s1042" DrawAspect="Content" ObjectID="_1468075735" r:id="rId28">
                  <o:LockedField>false</o:LockedField>
                </o:OLEObject>
              </w:pict>
            </w: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测试前，必须先将功能旋转开关切换到对应的功能指示位置，然后将测试线连接到仪表上，再将测试线连接到被测试线路中进行测试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必须严格按照手册说明进行连线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测试完毕后必须先将测试线撤离被测线路，才能从仪表上拔出</w:t>
            </w:r>
          </w:p>
        </w:tc>
      </w:tr>
    </w:tbl>
    <w:p>
      <w:pPr>
        <w:ind w:firstLine="235" w:firstLineChars="98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4．相位测量</w:t>
      </w:r>
    </w:p>
    <w:tbl>
      <w:tblPr>
        <w:tblStyle w:val="15"/>
        <w:tblW w:w="10080" w:type="dxa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restart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pict>
                <v:shape id="_x0000_s1043" o:spid="_x0000_s1043" o:spt="75" type="#_x0000_t75" style="position:absolute;left:0pt;margin-left:-0.7pt;margin-top:19.3pt;height:22.45pt;width:25.65pt;z-index:251676672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6" grayscale="f" bilevel="f" o:title=""/>
                  <o:lock v:ext="edit" aspectratio="t"/>
                </v:shape>
                <o:OLEObject Type="Embed" ProgID="" ShapeID="_x0000_s1043" DrawAspect="Content" ObjectID="_1468075736" r:id="rId29">
                  <o:LockedField>false</o:LockedField>
                </o:OLEObject>
              </w:pict>
            </w: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本仪表的相位测试关系：U1U2、I1I2、U1I2、I1U2，每种关系测得的相位都为1路信号超前2路信号的相位。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U1红色电压插孔和U2红色电压插孔与卡钳上红点标记端为同名端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相位测试时电流输入钳夹的方向与钳夹上箭头符号一致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936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对于3相线相位关系可以两两对应测试</w:t>
            </w:r>
          </w:p>
        </w:tc>
      </w:tr>
    </w:tbl>
    <w:p>
      <w:pPr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sz w:val="24"/>
        </w:rPr>
        <w:t xml:space="preserve">    </w:t>
      </w:r>
      <w:r>
        <w:rPr>
          <w:rFonts w:hint="eastAsia" w:ascii="宋体" w:hAnsi="宋体"/>
          <w:b/>
          <w:sz w:val="24"/>
        </w:rPr>
        <w:t>（1）U1U2的相位测试</w:t>
      </w:r>
    </w:p>
    <w:p>
      <w:pPr>
        <w:ind w:left="735" w:leftChars="350"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将旋转开关旋至</w:t>
      </w:r>
      <w:r>
        <w:rPr>
          <w:rFonts w:hint="eastAsia" w:ascii="宋体" w:hAnsi="宋体"/>
          <w:sz w:val="24"/>
          <w:bdr w:val="single" w:color="auto" w:sz="4" w:space="0"/>
        </w:rPr>
        <w:t>U1U2</w:t>
      </w:r>
      <w:r>
        <w:rPr>
          <w:rFonts w:hint="eastAsia" w:ascii="宋体" w:hAnsi="宋体"/>
          <w:sz w:val="24"/>
        </w:rPr>
        <w:t>位置，将红黑4条测试线连接到仪表的U1、U2电压输入插孔，再将测试线对应接入U1、U2线路中，测试显示值即为两路电压之间的相位，即U2 滞后U1 的相位角。测试</w:t>
      </w:r>
      <w:r>
        <w:rPr>
          <w:rFonts w:hint="eastAsia" w:ascii="宋体" w:hAnsi="宋体"/>
          <w:sz w:val="24"/>
          <w:bdr w:val="single" w:color="auto" w:sz="4" w:space="0"/>
        </w:rPr>
        <w:t>U1U2</w:t>
      </w:r>
      <w:r>
        <w:rPr>
          <w:rFonts w:hint="eastAsia" w:ascii="宋体" w:hAnsi="宋体"/>
          <w:sz w:val="24"/>
        </w:rPr>
        <w:t>相位时，两路输入回路间完全隔离绝缘，避免了可能误接线造成被测线路短路而烧坏仪表。</w:t>
      </w:r>
    </w:p>
    <w:p>
      <w:pPr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（2）I1I2的相位测试</w:t>
      </w:r>
    </w:p>
    <w:p>
      <w:pPr>
        <w:ind w:left="722" w:leftChars="344"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将旋转开关旋至</w:t>
      </w:r>
      <w:r>
        <w:rPr>
          <w:rFonts w:hint="eastAsia" w:ascii="宋体" w:hAnsi="宋体"/>
          <w:sz w:val="24"/>
          <w:bdr w:val="single" w:color="auto" w:sz="4" w:space="0"/>
        </w:rPr>
        <w:t>I1I2</w:t>
      </w:r>
      <w:r>
        <w:rPr>
          <w:rFonts w:hint="eastAsia" w:ascii="宋体" w:hAnsi="宋体"/>
          <w:sz w:val="24"/>
        </w:rPr>
        <w:t>位置，将两个电流钳连接到仪表前端的I1、I2电流输入插孔，再将电流钳对应钳住I1、I2线路，测试显示值即为两路电流之间的相位。</w:t>
      </w:r>
    </w:p>
    <w:p>
      <w:pPr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（3）U1I2的相位测试</w:t>
      </w:r>
    </w:p>
    <w:p>
      <w:pPr>
        <w:ind w:left="722" w:leftChars="344"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将旋转开关旋至</w:t>
      </w:r>
      <w:r>
        <w:rPr>
          <w:rFonts w:hint="eastAsia" w:ascii="宋体" w:hAnsi="宋体"/>
          <w:sz w:val="24"/>
          <w:bdr w:val="single" w:color="auto" w:sz="4" w:space="0"/>
        </w:rPr>
        <w:t>U1I2</w:t>
      </w:r>
      <w:r>
        <w:rPr>
          <w:rFonts w:hint="eastAsia" w:ascii="宋体" w:hAnsi="宋体"/>
          <w:sz w:val="24"/>
        </w:rPr>
        <w:t>位置，红黑2条测试线连接到仪表的U1电压输入插孔，1个电流钳连接到仪表前端的I2电流输入插孔， 再将测试线与电流钳对应接入U1、I2线路，测试显示值即为电压和电流之间的相位。</w:t>
      </w:r>
    </w:p>
    <w:p>
      <w:pPr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（4）I1U2的相位测试</w:t>
      </w:r>
    </w:p>
    <w:p>
      <w:pPr>
        <w:ind w:left="722" w:leftChars="344"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将旋转开关旋至</w:t>
      </w:r>
      <w:r>
        <w:rPr>
          <w:rFonts w:hint="eastAsia" w:ascii="宋体" w:hAnsi="宋体"/>
          <w:sz w:val="24"/>
          <w:bdr w:val="single" w:color="auto" w:sz="4" w:space="0"/>
        </w:rPr>
        <w:t>I1U2</w:t>
      </w:r>
      <w:r>
        <w:rPr>
          <w:rFonts w:hint="eastAsia" w:ascii="宋体" w:hAnsi="宋体"/>
          <w:sz w:val="24"/>
        </w:rPr>
        <w:t>位置，1个电流钳连接到仪表前端的I1电流输入插孔，红黑2条测试线连接到仪表的U2电压输入插孔，再将电流钳与测试线对应接入I1、U2线路，测试显示值即为电流和电压之间的相位。</w:t>
      </w:r>
    </w:p>
    <w:p>
      <w:pPr>
        <w:ind w:firstLine="235" w:firstLineChars="98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5．交流电流、漏电流测量</w:t>
      </w:r>
    </w:p>
    <w:p>
      <w:pPr>
        <w:ind w:left="735" w:leftChars="350"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将旋转开关旋至</w:t>
      </w:r>
      <w:r>
        <w:rPr>
          <w:rFonts w:hint="eastAsia" w:ascii="宋体" w:hAnsi="宋体"/>
          <w:sz w:val="24"/>
          <w:bdr w:val="single" w:color="auto" w:sz="4" w:space="0"/>
        </w:rPr>
        <w:t>I1</w:t>
      </w:r>
      <w:r>
        <w:rPr>
          <w:rFonts w:hint="eastAsia" w:ascii="宋体" w:hAnsi="宋体"/>
          <w:sz w:val="24"/>
        </w:rPr>
        <w:t>的10A档，1个电流钳连接到仪表前端的I1电流输出插孔，再用电流钳钳住被测线路，测试显示值即为被测电路中的电流或漏电流，若被测试电流比较小，可以选择较小的档位再进行测试，以提高测试的准确性。也可以将旋转开关旋至</w:t>
      </w:r>
      <w:r>
        <w:rPr>
          <w:rFonts w:hint="eastAsia" w:ascii="宋体" w:hAnsi="宋体"/>
          <w:sz w:val="24"/>
          <w:bdr w:val="single" w:color="auto" w:sz="4" w:space="0"/>
        </w:rPr>
        <w:t>I2</w:t>
      </w:r>
      <w:r>
        <w:rPr>
          <w:rFonts w:hint="eastAsia" w:ascii="宋体" w:hAnsi="宋体"/>
          <w:sz w:val="24"/>
        </w:rPr>
        <w:t>的适当量限，用I2路测试电流或漏电流。注意旋转开关所处I1、I2的位置与电流钳I1、I2的输入插孔必须对应。</w:t>
      </w:r>
    </w:p>
    <w:p>
      <w:pPr>
        <w:ind w:firstLine="235" w:firstLineChars="98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6．交流电压测量</w:t>
      </w:r>
    </w:p>
    <w:p>
      <w:pPr>
        <w:ind w:left="766" w:leftChars="365"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将旋转开关旋至</w:t>
      </w:r>
      <w:r>
        <w:rPr>
          <w:rFonts w:hint="eastAsia" w:ascii="宋体" w:hAnsi="宋体"/>
          <w:sz w:val="24"/>
          <w:bdr w:val="single" w:color="auto" w:sz="4" w:space="0"/>
        </w:rPr>
        <w:t>U1</w:t>
      </w:r>
      <w:r>
        <w:rPr>
          <w:rFonts w:hint="eastAsia" w:ascii="宋体" w:hAnsi="宋体"/>
          <w:sz w:val="24"/>
        </w:rPr>
        <w:t>的500V量程，红黑2条测试线连接到仪表的U1电压输入插孔，再将测试线接入被测试线路，测试显示的值为被测线路的电压，若被测试电压比较小，可以选择较小的档位再进行测试，以提高测试的准确性。也可以将旋转开关旋至</w:t>
      </w:r>
      <w:r>
        <w:rPr>
          <w:rFonts w:hint="eastAsia" w:ascii="宋体" w:hAnsi="宋体"/>
          <w:sz w:val="24"/>
          <w:bdr w:val="single" w:color="auto" w:sz="4" w:space="0"/>
        </w:rPr>
        <w:t>U2</w:t>
      </w:r>
      <w:r>
        <w:rPr>
          <w:rFonts w:hint="eastAsia" w:ascii="宋体" w:hAnsi="宋体"/>
          <w:sz w:val="24"/>
        </w:rPr>
        <w:t>的适当量限，用U2路测试电压。注意旋转开关所处U1、U2的位置与电压U1、U2的输入插孔必须对应。</w:t>
      </w:r>
    </w:p>
    <w:p>
      <w:pPr>
        <w:ind w:firstLine="235" w:firstLineChars="98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7．感性、容性电路判别</w:t>
      </w:r>
    </w:p>
    <w:p>
      <w:pPr>
        <w:ind w:left="766" w:leftChars="365"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将旋转开关旋至</w:t>
      </w:r>
      <w:r>
        <w:rPr>
          <w:rFonts w:hint="eastAsia" w:ascii="宋体" w:hAnsi="宋体"/>
          <w:sz w:val="24"/>
          <w:bdr w:val="single" w:color="auto" w:sz="4" w:space="0"/>
        </w:rPr>
        <w:t>U112</w:t>
      </w:r>
      <w:r>
        <w:rPr>
          <w:rFonts w:hint="eastAsia" w:ascii="宋体" w:hAnsi="宋体"/>
          <w:sz w:val="24"/>
        </w:rPr>
        <w:t>位置，将电路电压输入U1插孔，电路电流输入I2插孔，若相位显示在0</w:t>
      </w:r>
      <w:r>
        <w:rPr>
          <w:rFonts w:hint="eastAsia" w:ascii="宋体" w:hAnsi="宋体"/>
          <w:sz w:val="24"/>
          <w:vertAlign w:val="superscript"/>
        </w:rPr>
        <w:t>0</w:t>
      </w:r>
      <w:r>
        <w:rPr>
          <w:rFonts w:hint="eastAsia" w:ascii="宋体" w:hAnsi="宋体"/>
          <w:sz w:val="24"/>
        </w:rPr>
        <w:t>～90</w:t>
      </w:r>
      <w:r>
        <w:rPr>
          <w:rFonts w:hint="eastAsia" w:ascii="宋体" w:hAnsi="宋体"/>
          <w:sz w:val="24"/>
          <w:vertAlign w:val="superscript"/>
        </w:rPr>
        <w:t>0</w:t>
      </w:r>
      <w:r>
        <w:rPr>
          <w:rFonts w:hint="eastAsia" w:ascii="宋体" w:hAnsi="宋体"/>
          <w:sz w:val="24"/>
        </w:rPr>
        <w:t>范围，则被测负载为感性， 若相位显示在270</w:t>
      </w:r>
      <w:r>
        <w:rPr>
          <w:rFonts w:hint="eastAsia" w:ascii="宋体" w:hAnsi="宋体"/>
          <w:sz w:val="24"/>
          <w:vertAlign w:val="superscript"/>
        </w:rPr>
        <w:t>0</w:t>
      </w:r>
      <w:r>
        <w:rPr>
          <w:rFonts w:hint="eastAsia" w:ascii="宋体" w:hAnsi="宋体"/>
          <w:sz w:val="24"/>
        </w:rPr>
        <w:t>～360</w:t>
      </w:r>
      <w:r>
        <w:rPr>
          <w:rFonts w:hint="eastAsia" w:ascii="宋体" w:hAnsi="宋体"/>
          <w:sz w:val="24"/>
          <w:vertAlign w:val="superscript"/>
        </w:rPr>
        <w:t>0</w:t>
      </w:r>
      <w:r>
        <w:rPr>
          <w:rFonts w:hint="eastAsia" w:ascii="宋体" w:hAnsi="宋体"/>
          <w:sz w:val="24"/>
        </w:rPr>
        <w:t>范围，则被测负载为容性。</w:t>
      </w:r>
    </w:p>
    <w:p>
      <w:pPr>
        <w:ind w:firstLine="235" w:firstLineChars="98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8．三相电压相序测量</w:t>
      </w:r>
    </w:p>
    <w:p>
      <w:pPr>
        <w:ind w:firstLine="470" w:firstLineChars="196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（1）三相三线制相序判别</w:t>
      </w:r>
    </w:p>
    <w:p>
      <w:pPr>
        <w:ind w:left="856" w:leftChars="408"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旋转开关旋至</w:t>
      </w:r>
      <w:r>
        <w:rPr>
          <w:rFonts w:hint="eastAsia" w:ascii="宋体" w:hAnsi="宋体"/>
          <w:sz w:val="24"/>
          <w:bdr w:val="single" w:color="auto" w:sz="4" w:space="0"/>
        </w:rPr>
        <w:t>U1U2</w:t>
      </w:r>
      <w:r>
        <w:rPr>
          <w:rFonts w:hint="eastAsia" w:ascii="宋体" w:hAnsi="宋体"/>
          <w:sz w:val="24"/>
        </w:rPr>
        <w:t>位置，用测试线将A相接入U1红色插孔，B相同时接入U1及U2的黑色插孔，C相接入U2的红色插孔。这时若测得的相位值为300°则为正相序；若测得的相位值为60°，则为负相序。</w:t>
      </w:r>
    </w:p>
    <w:p>
      <w:pPr>
        <w:ind w:firstLine="468" w:firstLineChars="195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(2)三相四线制相序判别</w:t>
      </w:r>
    </w:p>
    <w:p>
      <w:pPr>
        <w:ind w:left="856" w:leftChars="408"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旋转开关旋至</w:t>
      </w:r>
      <w:r>
        <w:rPr>
          <w:rFonts w:hint="eastAsia" w:ascii="宋体" w:hAnsi="宋体"/>
          <w:sz w:val="24"/>
          <w:bdr w:val="single" w:color="auto" w:sz="4" w:space="0"/>
        </w:rPr>
        <w:t>U1U2</w:t>
      </w:r>
      <w:r>
        <w:rPr>
          <w:rFonts w:hint="eastAsia" w:ascii="宋体" w:hAnsi="宋体"/>
          <w:sz w:val="24"/>
        </w:rPr>
        <w:t>位置，用测试线将A相接入U1红色插孔，B相接入U2红色插孔，零线同时接入U1及U2的黑色插孔。若相位显示为120°左右，则为正相序；若相位显示为240°左右，则为负相序。</w:t>
      </w:r>
    </w:p>
    <w:p>
      <w:pPr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b/>
          <w:sz w:val="24"/>
        </w:rPr>
      </w:pPr>
    </w:p>
    <w:p>
      <w:pPr>
        <w:outlineLvl w:val="0"/>
        <w:rPr>
          <w:rFonts w:hint="eastAsia" w:ascii="宋体" w:hAnsi="宋体"/>
          <w:b/>
          <w:sz w:val="28"/>
          <w:szCs w:val="28"/>
        </w:rPr>
      </w:pPr>
      <w:bookmarkStart w:id="5" w:name="_Toc22502"/>
      <w:r>
        <w:rPr>
          <w:rFonts w:hint="eastAsia" w:ascii="宋体" w:hAnsi="宋体"/>
          <w:b/>
          <w:sz w:val="28"/>
          <w:szCs w:val="28"/>
        </w:rPr>
        <w:t>六．电池更换</w:t>
      </w:r>
      <w:bookmarkEnd w:id="5"/>
    </w:p>
    <w:tbl>
      <w:tblPr>
        <w:tblStyle w:val="15"/>
        <w:tblW w:w="9720" w:type="dxa"/>
        <w:tblInd w:w="6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8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80" w:type="dxa"/>
            <w:vMerge w:val="restart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pict>
                <v:shape id="_x0000_s1044" o:spid="_x0000_s1044" o:spt="75" type="#_x0000_t75" style="position:absolute;left:0pt;margin-left:3.65pt;margin-top:13.9pt;height:27.8pt;width:31.75pt;z-index:251671552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6" grayscale="f" bilevel="f" o:title=""/>
                  <o:lock v:ext="edit" aspectratio="t"/>
                </v:shape>
                <o:OLEObject Type="Embed" ProgID="" ShapeID="_x0000_s1044" DrawAspect="Content" ObjectID="_1468075737" r:id="rId30">
                  <o:LockedField>false</o:LockedField>
                </o:OLEObject>
              </w:pict>
            </w:r>
          </w:p>
        </w:tc>
        <w:tc>
          <w:tcPr>
            <w:tcW w:w="86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请注意电池极性，必须按正确的极性安装，否则损坏仪表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8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86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危险场所严禁更换电池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86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必须使用合格的碱性干电池（1.5V AA×6）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vMerge w:val="continue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864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不允许新旧电池混用</w:t>
            </w:r>
          </w:p>
        </w:tc>
      </w:tr>
    </w:tbl>
    <w:p>
      <w:pPr>
        <w:ind w:left="761" w:leftChars="195" w:hanging="352" w:hangingChars="147"/>
        <w:jc w:val="left"/>
        <w:rPr>
          <w:rFonts w:hint="eastAsia" w:ascii="宋体" w:hAnsi="宋体"/>
          <w:b/>
          <w:sz w:val="24"/>
        </w:rPr>
      </w:pPr>
    </w:p>
    <w:p>
      <w:pPr>
        <w:ind w:left="879" w:leftChars="252" w:hanging="350" w:hangingChars="146"/>
        <w:jc w:val="left"/>
        <w:rPr>
          <w:rFonts w:hint="eastAsia" w:ascii="宋体" w:hAnsi="宋体"/>
          <w:sz w:val="24"/>
        </w:rPr>
      </w:pPr>
      <w:r>
        <w:rPr>
          <w:rFonts w:ascii="宋体" w:hAnsi="宋体"/>
          <w:b/>
          <w:sz w:val="24"/>
        </w:rPr>
        <w:pict>
          <v:shape id="_x0000_s1045" o:spid="_x0000_s1045" o:spt="75" type="#_x0000_t75" style="position:absolute;left:0pt;margin-left:264.6pt;margin-top:3.05pt;height:8.8pt;width:18pt;z-index:251670528;mso-width-relative:page;mso-height-relative:page;" o:ole="t" filled="f" o:preferrelative="t" stroked="f" coordsize="21600,21600">
            <v:path/>
            <v:fill on="f" alignshape="1" focussize="0,0"/>
            <v:stroke on="f"/>
            <v:imagedata r:id="rId32" grayscale="f" bilevel="f" o:title=""/>
            <o:lock v:ext="edit" aspectratio="t"/>
          </v:shape>
          <o:OLEObject Type="Embed" ProgID="" ShapeID="_x0000_s1045" DrawAspect="Content" ObjectID="_1468075738" r:id="rId31">
            <o:LockedField>false</o:LockedField>
          </o:OLEObject>
        </w:pict>
      </w:r>
      <w:r>
        <w:rPr>
          <w:rFonts w:ascii="宋体" w:hAnsi="宋体"/>
          <w:sz w:val="24"/>
        </w:rPr>
        <w:pict>
          <v:shape id="_x0000_s1046" o:spid="_x0000_s1046" o:spt="75" type="#_x0000_t75" style="position:absolute;left:0pt;margin-left:378pt;margin-top:28.85pt;height:127.95pt;width:135pt;z-index:251669504;mso-width-relative:page;mso-height-relative:page;" o:ole="t" filled="f" o:preferrelative="t" stroked="f" coordsize="21600,21600">
            <v:path/>
            <v:fill on="f" alignshape="1" focussize="0,0"/>
            <v:stroke on="f"/>
            <v:imagedata r:id="rId34" grayscale="f" bilevel="f" o:title=""/>
            <o:lock v:ext="edit" aspectratio="t"/>
          </v:shape>
          <o:OLEObject Type="Embed" ProgID="" ShapeID="_x0000_s1046" DrawAspect="Content" ObjectID="_1468075739" r:id="rId33">
            <o:LockedField>false</o:LockedField>
          </o:OLEObject>
        </w:pict>
      </w:r>
      <w:r>
        <w:rPr>
          <w:rFonts w:hint="eastAsia" w:ascii="宋体" w:hAnsi="宋体"/>
          <w:b/>
          <w:sz w:val="24"/>
        </w:rPr>
        <w:t>1．</w:t>
      </w:r>
      <w:r>
        <w:rPr>
          <w:rFonts w:hint="eastAsia" w:ascii="宋体" w:hAnsi="宋体"/>
          <w:sz w:val="24"/>
        </w:rPr>
        <w:t>当仪表电源电压低于7.8V～8V时，显示“    ”符号，表示电池电量不足，请及时更换电池，参见下图。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2．</w:t>
      </w:r>
      <w:r>
        <w:rPr>
          <w:rFonts w:hint="eastAsia" w:ascii="宋体" w:hAnsi="宋体"/>
          <w:sz w:val="24"/>
        </w:rPr>
        <w:t>按OFF键关机。</w:t>
      </w:r>
    </w:p>
    <w:p>
      <w:pPr>
        <w:ind w:firstLine="480" w:firstLineChars="20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3．</w:t>
      </w:r>
      <w:r>
        <w:rPr>
          <w:rFonts w:hint="eastAsia" w:ascii="宋体" w:hAnsi="宋体"/>
          <w:sz w:val="24"/>
        </w:rPr>
        <w:t>用十字螺丝刀拧松电池盖板上的一枚螺丝，打开电池盖板。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4．</w:t>
      </w:r>
      <w:r>
        <w:rPr>
          <w:rFonts w:hint="eastAsia" w:ascii="宋体" w:hAnsi="宋体"/>
          <w:sz w:val="24"/>
        </w:rPr>
        <w:t>取出旧电池，换上新电池，请注意电池极性。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5．</w:t>
      </w:r>
      <w:r>
        <w:rPr>
          <w:rFonts w:hint="eastAsia" w:ascii="宋体" w:hAnsi="宋体"/>
          <w:sz w:val="24"/>
        </w:rPr>
        <w:t>盖上电池盖板，拧紧螺丝。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6．</w:t>
      </w:r>
      <w:r>
        <w:rPr>
          <w:rFonts w:hint="eastAsia" w:ascii="宋体" w:hAnsi="宋体"/>
          <w:sz w:val="24"/>
        </w:rPr>
        <w:t>按ON键开机，确认电池是否更换成功，否则从第2步重新操作。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7．</w:t>
      </w:r>
      <w:r>
        <w:rPr>
          <w:rFonts w:hint="eastAsia" w:ascii="宋体" w:hAnsi="宋体"/>
          <w:sz w:val="24"/>
        </w:rPr>
        <w:t>长时间不使用仪表请取出电池。</w:t>
      </w:r>
    </w:p>
    <w:p>
      <w:pPr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b/>
          <w:sz w:val="24"/>
        </w:rPr>
      </w:pPr>
    </w:p>
    <w:p>
      <w:pPr>
        <w:outlineLvl w:val="0"/>
        <w:rPr>
          <w:rFonts w:hint="eastAsia" w:ascii="黑体" w:hAnsi="宋体" w:eastAsia="黑体"/>
          <w:b/>
          <w:sz w:val="28"/>
          <w:szCs w:val="28"/>
        </w:rPr>
      </w:pPr>
      <w:bookmarkStart w:id="6" w:name="_Toc25273"/>
      <w:r>
        <w:rPr>
          <w:rFonts w:hint="eastAsia" w:ascii="黑体" w:hAnsi="宋体" w:eastAsia="黑体"/>
          <w:b/>
          <w:sz w:val="28"/>
          <w:szCs w:val="28"/>
        </w:rPr>
        <w:t>七．其他说明及注意事项</w:t>
      </w:r>
      <w:bookmarkEnd w:id="6"/>
    </w:p>
    <w:p>
      <w:pPr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1．电流钳的专用性</w:t>
      </w:r>
    </w:p>
    <w:p>
      <w:pPr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每台仪表的两把电流钳专用于本台仪表，不能换到另一台仪表使用。</w:t>
      </w:r>
    </w:p>
    <w:p>
      <w:pPr>
        <w:ind w:firstLine="960" w:firstLineChars="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电流钳严防摔碰，钳口平面必须保持光洁，完全闭合测试才可靠。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 xml:space="preserve">2. </w:t>
      </w:r>
      <w:r>
        <w:rPr>
          <w:rFonts w:hint="eastAsia" w:ascii="宋体" w:hAnsi="宋体"/>
          <w:sz w:val="24"/>
        </w:rPr>
        <w:t>电流钳的保养</w:t>
      </w:r>
    </w:p>
    <w:p>
      <w:pPr>
        <w:ind w:left="361" w:leftChars="172"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电流钳使用完毕后，应及时将钳口平面的尘埃除尽，不能用粗糙物或腐蚀济清洁钳口平面，最好用软布加润滑济（如：WD-40润滑济）轻轻擦拭。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3.</w:t>
      </w:r>
      <w:r>
        <w:rPr>
          <w:rFonts w:hint="eastAsia" w:ascii="宋体" w:hAnsi="宋体"/>
          <w:sz w:val="24"/>
        </w:rPr>
        <w:t>测量前，应先予预热3～5分钟以保证测量精度。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4．</w:t>
      </w:r>
      <w:r>
        <w:rPr>
          <w:rFonts w:hint="eastAsia" w:ascii="宋体" w:hAnsi="宋体"/>
          <w:sz w:val="24"/>
        </w:rPr>
        <w:t>本仪表供二次回路和低压回路检测，不能用于测量高压线路中的电流，以预防触电。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5．</w:t>
      </w:r>
      <w:r>
        <w:rPr>
          <w:rFonts w:hint="eastAsia" w:ascii="宋体" w:hAnsi="宋体"/>
          <w:sz w:val="24"/>
        </w:rPr>
        <w:t>三相</w:t>
      </w:r>
      <w:r>
        <w:rPr>
          <w:rFonts w:hint="eastAsia" w:ascii="宋体" w:hAnsi="宋体" w:cs="SimSun-Identity-H"/>
          <w:kern w:val="0"/>
          <w:sz w:val="24"/>
        </w:rPr>
        <w:t>四线</w:t>
      </w:r>
      <w:r>
        <w:rPr>
          <w:rFonts w:ascii="宋体" w:hAnsi="宋体" w:cs="SimSun-Identity-H"/>
          <w:kern w:val="0"/>
          <w:sz w:val="24"/>
        </w:rPr>
        <w:t>(</w:t>
      </w:r>
      <w:r>
        <w:rPr>
          <w:rFonts w:hint="eastAsia" w:ascii="宋体" w:hAnsi="宋体" w:cs="SimSun-Identity-H"/>
          <w:kern w:val="0"/>
          <w:sz w:val="24"/>
        </w:rPr>
        <w:t>三相负载平衡时的相位</w:t>
      </w:r>
      <w:r>
        <w:rPr>
          <w:rFonts w:ascii="宋体" w:hAnsi="宋体" w:cs="SimSun-Identity-H"/>
          <w:kern w:val="0"/>
          <w:sz w:val="24"/>
        </w:rPr>
        <w:t>)</w:t>
      </w:r>
      <w:r>
        <w:rPr>
          <w:rFonts w:hint="eastAsia" w:ascii="宋体" w:hAnsi="宋体" w:cs="SimSun-Identity-H"/>
          <w:kern w:val="0"/>
          <w:sz w:val="24"/>
        </w:rPr>
        <w:t>：</w:t>
      </w:r>
    </w:p>
    <w:tbl>
      <w:tblPr>
        <w:tblStyle w:val="15"/>
        <w:tblW w:w="9180" w:type="dxa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160"/>
        <w:gridCol w:w="1980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23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  <w:t>相位关系</w:t>
            </w:r>
          </w:p>
        </w:tc>
        <w:tc>
          <w:tcPr>
            <w:tcW w:w="216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b/>
                <w:kern w:val="0"/>
                <w:sz w:val="24"/>
              </w:rPr>
              <w:t>相位值</w:t>
            </w:r>
          </w:p>
        </w:tc>
        <w:tc>
          <w:tcPr>
            <w:tcW w:w="198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  <w:t>相位关系</w:t>
            </w:r>
          </w:p>
        </w:tc>
        <w:tc>
          <w:tcPr>
            <w:tcW w:w="270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b/>
                <w:kern w:val="0"/>
                <w:sz w:val="24"/>
              </w:rPr>
              <w:t>相位值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23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ascii="宋体" w:hAnsi="宋体" w:cs="SimSun-Identity-H"/>
                <w:kern w:val="0"/>
                <w:sz w:val="24"/>
              </w:rPr>
              <w:t>U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a</w:t>
            </w:r>
            <w:r>
              <w:rPr>
                <w:rFonts w:ascii="宋体" w:hAnsi="宋体" w:cs="SimSun-Identity-H"/>
                <w:kern w:val="0"/>
                <w:sz w:val="24"/>
              </w:rPr>
              <w:t>-U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b</w:t>
            </w:r>
          </w:p>
        </w:tc>
        <w:tc>
          <w:tcPr>
            <w:tcW w:w="216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120°</w:t>
            </w:r>
          </w:p>
        </w:tc>
        <w:tc>
          <w:tcPr>
            <w:tcW w:w="198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hint="eastAsia" w:ascii="宋体" w:hAnsi="宋体" w:cs="SimHei-Identity-H"/>
                <w:bCs/>
                <w:kern w:val="0"/>
                <w:sz w:val="24"/>
              </w:rPr>
              <w:t>Ia-Ib</w:t>
            </w:r>
          </w:p>
        </w:tc>
        <w:tc>
          <w:tcPr>
            <w:tcW w:w="270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23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ascii="宋体" w:hAnsi="宋体" w:cs="SimSun-Identity-H"/>
                <w:kern w:val="0"/>
                <w:sz w:val="24"/>
              </w:rPr>
              <w:t>U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b</w:t>
            </w:r>
            <w:r>
              <w:rPr>
                <w:rFonts w:ascii="宋体" w:hAnsi="宋体" w:cs="SimSun-Identity-H"/>
                <w:kern w:val="0"/>
                <w:sz w:val="24"/>
              </w:rPr>
              <w:t>-U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c</w:t>
            </w:r>
          </w:p>
        </w:tc>
        <w:tc>
          <w:tcPr>
            <w:tcW w:w="216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120°</w:t>
            </w:r>
          </w:p>
        </w:tc>
        <w:tc>
          <w:tcPr>
            <w:tcW w:w="198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hint="eastAsia" w:ascii="宋体" w:hAnsi="宋体" w:cs="SimHei-Identity-H"/>
                <w:bCs/>
                <w:kern w:val="0"/>
                <w:sz w:val="24"/>
              </w:rPr>
              <w:t>Ib-Ic</w:t>
            </w:r>
          </w:p>
        </w:tc>
        <w:tc>
          <w:tcPr>
            <w:tcW w:w="270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23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ascii="宋体" w:hAnsi="宋体" w:cs="SimSun-Identity-H"/>
                <w:kern w:val="0"/>
                <w:sz w:val="24"/>
              </w:rPr>
              <w:t>U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c</w:t>
            </w:r>
            <w:r>
              <w:rPr>
                <w:rFonts w:ascii="宋体" w:hAnsi="宋体" w:cs="SimSun-Identity-H"/>
                <w:kern w:val="0"/>
                <w:sz w:val="24"/>
              </w:rPr>
              <w:t>-U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a</w:t>
            </w:r>
          </w:p>
        </w:tc>
        <w:tc>
          <w:tcPr>
            <w:tcW w:w="216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120°</w:t>
            </w:r>
          </w:p>
        </w:tc>
        <w:tc>
          <w:tcPr>
            <w:tcW w:w="198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hint="eastAsia" w:ascii="宋体" w:hAnsi="宋体" w:cs="SimHei-Identity-H"/>
                <w:bCs/>
                <w:kern w:val="0"/>
                <w:sz w:val="24"/>
              </w:rPr>
              <w:t>Ic-Ia</w:t>
            </w:r>
          </w:p>
        </w:tc>
        <w:tc>
          <w:tcPr>
            <w:tcW w:w="270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120°</w:t>
            </w:r>
          </w:p>
        </w:tc>
      </w:tr>
    </w:tbl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Sun-Identity-H"/>
          <w:kern w:val="0"/>
          <w:sz w:val="24"/>
        </w:rPr>
      </w:pPr>
      <w:r>
        <w:rPr>
          <w:rFonts w:hint="eastAsia" w:ascii="宋体" w:hAnsi="宋体"/>
          <w:b/>
          <w:sz w:val="24"/>
        </w:rPr>
        <w:t>6．</w:t>
      </w:r>
      <w:r>
        <w:rPr>
          <w:rFonts w:hint="eastAsia" w:ascii="宋体" w:hAnsi="宋体"/>
          <w:sz w:val="24"/>
        </w:rPr>
        <w:t>三相</w:t>
      </w:r>
      <w:r>
        <w:rPr>
          <w:rFonts w:hint="eastAsia" w:ascii="宋体" w:hAnsi="宋体" w:cs="SimSun-Identity-H"/>
          <w:kern w:val="0"/>
          <w:sz w:val="24"/>
        </w:rPr>
        <w:t>三线</w:t>
      </w:r>
      <w:r>
        <w:rPr>
          <w:rFonts w:ascii="宋体" w:hAnsi="宋体" w:cs="SimSun-Identity-H"/>
          <w:kern w:val="0"/>
          <w:sz w:val="24"/>
        </w:rPr>
        <w:t>(</w:t>
      </w:r>
      <w:r>
        <w:rPr>
          <w:rFonts w:hint="eastAsia" w:ascii="宋体" w:hAnsi="宋体" w:cs="SimSun-Identity-H"/>
          <w:kern w:val="0"/>
          <w:sz w:val="24"/>
        </w:rPr>
        <w:t>三相负载平衡时的相位</w:t>
      </w:r>
      <w:r>
        <w:rPr>
          <w:rFonts w:ascii="宋体" w:hAnsi="宋体" w:cs="SimSun-Identity-H"/>
          <w:kern w:val="0"/>
          <w:sz w:val="24"/>
        </w:rPr>
        <w:t>)</w:t>
      </w:r>
      <w:r>
        <w:rPr>
          <w:rFonts w:hint="eastAsia" w:ascii="宋体" w:hAnsi="宋体" w:cs="SimSun-Identity-H"/>
          <w:kern w:val="0"/>
          <w:sz w:val="24"/>
        </w:rPr>
        <w:t>：</w:t>
      </w:r>
    </w:p>
    <w:tbl>
      <w:tblPr>
        <w:tblStyle w:val="15"/>
        <w:tblW w:w="9180" w:type="dxa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160"/>
        <w:gridCol w:w="1980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23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  <w:t>相位关系</w:t>
            </w:r>
          </w:p>
        </w:tc>
        <w:tc>
          <w:tcPr>
            <w:tcW w:w="216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b/>
                <w:kern w:val="0"/>
                <w:sz w:val="24"/>
              </w:rPr>
              <w:t>相位值</w:t>
            </w:r>
          </w:p>
        </w:tc>
        <w:tc>
          <w:tcPr>
            <w:tcW w:w="198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  <w:t>相位关系</w:t>
            </w:r>
          </w:p>
        </w:tc>
        <w:tc>
          <w:tcPr>
            <w:tcW w:w="270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b/>
                <w:kern w:val="0"/>
                <w:sz w:val="24"/>
              </w:rPr>
              <w:t>相位值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23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ascii="宋体" w:hAnsi="宋体" w:cs="SimSun-Identity-H"/>
                <w:kern w:val="0"/>
                <w:sz w:val="24"/>
              </w:rPr>
              <w:t>U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ab</w:t>
            </w:r>
            <w:r>
              <w:rPr>
                <w:rFonts w:ascii="宋体" w:hAnsi="宋体" w:cs="SimSun-Identity-H"/>
                <w:kern w:val="0"/>
                <w:sz w:val="24"/>
              </w:rPr>
              <w:t>-U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cb</w:t>
            </w:r>
          </w:p>
        </w:tc>
        <w:tc>
          <w:tcPr>
            <w:tcW w:w="216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300°</w:t>
            </w:r>
          </w:p>
        </w:tc>
        <w:tc>
          <w:tcPr>
            <w:tcW w:w="198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hint="eastAsia" w:ascii="宋体" w:hAnsi="宋体" w:cs="SimHei-Identity-H"/>
                <w:bCs/>
                <w:kern w:val="0"/>
                <w:sz w:val="24"/>
              </w:rPr>
              <w:t>Ia-Ic</w:t>
            </w:r>
          </w:p>
        </w:tc>
        <w:tc>
          <w:tcPr>
            <w:tcW w:w="270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240°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34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ascii="宋体" w:hAnsi="宋体" w:cs="SimSun-Identity-H"/>
                <w:kern w:val="0"/>
                <w:sz w:val="24"/>
              </w:rPr>
              <w:t>U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ab</w:t>
            </w:r>
            <w:r>
              <w:rPr>
                <w:rFonts w:ascii="宋体" w:hAnsi="宋体" w:cs="SimSun-Identity-H"/>
                <w:kern w:val="0"/>
                <w:sz w:val="24"/>
              </w:rPr>
              <w:t>-</w:t>
            </w:r>
            <w:r>
              <w:rPr>
                <w:rFonts w:hint="eastAsia" w:ascii="宋体" w:hAnsi="宋体" w:cs="SimSun-Identity-H"/>
                <w:kern w:val="0"/>
                <w:sz w:val="24"/>
              </w:rPr>
              <w:t>Ia</w:t>
            </w:r>
          </w:p>
        </w:tc>
        <w:tc>
          <w:tcPr>
            <w:tcW w:w="216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30°</w:t>
            </w:r>
          </w:p>
        </w:tc>
        <w:tc>
          <w:tcPr>
            <w:tcW w:w="198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Cs/>
                <w:kern w:val="0"/>
                <w:sz w:val="24"/>
              </w:rPr>
            </w:pPr>
            <w:r>
              <w:rPr>
                <w:rFonts w:hint="eastAsia" w:ascii="宋体" w:hAnsi="宋体" w:cs="SimHei-Identity-H"/>
                <w:bCs/>
                <w:kern w:val="0"/>
                <w:sz w:val="24"/>
              </w:rPr>
              <w:t>Ucb-Ic</w:t>
            </w:r>
          </w:p>
        </w:tc>
        <w:tc>
          <w:tcPr>
            <w:tcW w:w="270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SimHei-Identity-H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SimSun-Identity-H"/>
                <w:kern w:val="0"/>
                <w:sz w:val="24"/>
              </w:rPr>
              <w:t>330°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hint="eastAsia" w:ascii="宋体" w:hAnsi="宋体"/>
          <w:b/>
          <w:sz w:val="24"/>
        </w:rPr>
      </w:pP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Sun-Identity-H"/>
          <w:kern w:val="0"/>
          <w:sz w:val="24"/>
        </w:rPr>
      </w:pPr>
      <w:r>
        <w:rPr>
          <w:rFonts w:hint="eastAsia" w:ascii="宋体" w:hAnsi="宋体"/>
          <w:b/>
          <w:sz w:val="24"/>
        </w:rPr>
        <w:t>7．</w:t>
      </w:r>
      <w:r>
        <w:rPr>
          <w:rFonts w:hint="eastAsia" w:ascii="宋体" w:hAnsi="宋体" w:cs="SimSun-Identity-H"/>
          <w:kern w:val="0"/>
          <w:sz w:val="24"/>
        </w:rPr>
        <w:t>三相四线向量图与三相三线向量图：</w:t>
      </w: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Hei-Identity-H"/>
          <w:b/>
          <w:bCs/>
          <w:kern w:val="0"/>
          <w:sz w:val="24"/>
        </w:rPr>
      </w:pP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Hei-Identity-H"/>
          <w:b/>
          <w:bCs/>
          <w:kern w:val="0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3886200" cy="1457960"/>
            <wp:effectExtent l="0" t="0" r="0" b="8890"/>
            <wp:wrapNone/>
            <wp:docPr id="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Hei-Identity-H"/>
          <w:b/>
          <w:bCs/>
          <w:kern w:val="0"/>
          <w:sz w:val="24"/>
        </w:rPr>
      </w:pP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Hei-Identity-H"/>
          <w:b/>
          <w:bCs/>
          <w:kern w:val="0"/>
          <w:sz w:val="24"/>
        </w:rPr>
      </w:pP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Hei-Identity-H"/>
          <w:b/>
          <w:bCs/>
          <w:kern w:val="0"/>
          <w:sz w:val="24"/>
        </w:rPr>
      </w:pP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Hei-Identity-H"/>
          <w:b/>
          <w:bCs/>
          <w:kern w:val="0"/>
          <w:sz w:val="24"/>
        </w:rPr>
      </w:pP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Hei-Identity-H"/>
          <w:b/>
          <w:bCs/>
          <w:kern w:val="0"/>
          <w:sz w:val="24"/>
        </w:rPr>
      </w:pPr>
    </w:p>
    <w:p>
      <w:pPr>
        <w:autoSpaceDE w:val="0"/>
        <w:autoSpaceDN w:val="0"/>
        <w:adjustRightInd w:val="0"/>
        <w:ind w:firstLine="470" w:firstLineChars="196"/>
        <w:jc w:val="left"/>
        <w:rPr>
          <w:rFonts w:hint="eastAsia" w:ascii="宋体" w:hAnsi="宋体" w:cs="SimHei-Identity-H"/>
          <w:b/>
          <w:bCs/>
          <w:kern w:val="0"/>
          <w:sz w:val="24"/>
        </w:rPr>
      </w:pPr>
    </w:p>
    <w:p>
      <w:pPr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b/>
          <w:sz w:val="24"/>
        </w:rPr>
      </w:pPr>
    </w:p>
    <w:tbl>
      <w:tblPr>
        <w:tblStyle w:val="15"/>
        <w:tblW w:w="9540" w:type="dxa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8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0" w:type="dxa"/>
            <w:vAlign w:val="top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pict>
                <v:shape id="_x0000_s1048" o:spid="_x0000_s1048" o:spt="75" type="#_x0000_t75" style="position:absolute;left:0pt;margin-left:13.9pt;margin-top:6.05pt;height:17.95pt;width:20.5pt;z-index:251677696;mso-width-relative:page;mso-height-relative:page;" o:ole="t" filled="f" o:preferrelative="t" stroked="f" coordsize="21600,21600">
                  <v:path/>
                  <v:fill on="f" alignshape="1" focussize="0,0"/>
                  <v:stroke on="f"/>
                  <v:imagedata r:id="rId16" grayscale="f" bilevel="f" o:title=""/>
                  <o:lock v:ext="edit" aspectratio="t"/>
                </v:shape>
                <o:OLEObject Type="Embed" ProgID="" ShapeID="_x0000_s1048" DrawAspect="Content" ObjectID="_1468075740" r:id="rId36">
                  <o:LockedField>false</o:LockedField>
                </o:OLEObject>
              </w:pict>
            </w:r>
          </w:p>
        </w:tc>
        <w:tc>
          <w:tcPr>
            <w:tcW w:w="8460" w:type="dxa"/>
            <w:vAlign w:val="center"/>
          </w:tcPr>
          <w:p>
            <w:pPr>
              <w:tabs>
                <w:tab w:val="left" w:pos="360"/>
                <w:tab w:val="left" w:pos="540"/>
              </w:tabs>
              <w:spacing w:line="0" w:lineRule="atLeast"/>
              <w:rPr>
                <w:rFonts w:hint="eastAsia" w:ascii="宋体" w:hAnsi="宋体"/>
                <w:b/>
                <w:sz w:val="24"/>
                <w:shd w:val="pct10" w:color="auto" w:fill="FFFFFF"/>
              </w:rPr>
            </w:pPr>
            <w:r>
              <w:rPr>
                <w:rFonts w:hint="eastAsia" w:ascii="宋体" w:hAnsi="宋体" w:cs="SimSun-Identity-H"/>
                <w:b/>
                <w:kern w:val="0"/>
                <w:sz w:val="24"/>
                <w:shd w:val="pct10" w:color="auto" w:fill="FFFFFF"/>
              </w:rPr>
              <w:t>若电流钳方向接反或电流线接反所显示相位值会相差180°，即在以上标准值基础上增加180°</w:t>
            </w:r>
          </w:p>
        </w:tc>
      </w:tr>
    </w:tbl>
    <w:p>
      <w:pPr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b/>
          <w:sz w:val="24"/>
        </w:rPr>
      </w:pPr>
    </w:p>
    <w:p>
      <w:pPr>
        <w:outlineLvl w:val="0"/>
        <w:rPr>
          <w:rFonts w:hint="eastAsia" w:ascii="宋体" w:hAnsi="宋体"/>
          <w:b/>
          <w:sz w:val="24"/>
        </w:rPr>
      </w:pPr>
      <w:bookmarkStart w:id="7" w:name="_Toc19710"/>
      <w:r>
        <w:rPr>
          <w:rFonts w:hint="eastAsia" w:ascii="宋体" w:hAnsi="宋体"/>
          <w:b/>
          <w:sz w:val="24"/>
        </w:rPr>
        <w:t>八．配置清单</w:t>
      </w:r>
      <w:bookmarkEnd w:id="7"/>
    </w:p>
    <w:tbl>
      <w:tblPr>
        <w:tblStyle w:val="15"/>
        <w:tblW w:w="9540" w:type="dxa"/>
        <w:tblInd w:w="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主机</w:t>
            </w:r>
          </w:p>
        </w:tc>
        <w:tc>
          <w:tcPr>
            <w:tcW w:w="684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仪表箱</w:t>
            </w:r>
          </w:p>
        </w:tc>
        <w:tc>
          <w:tcPr>
            <w:tcW w:w="684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电流钳</w:t>
            </w:r>
          </w:p>
        </w:tc>
        <w:tc>
          <w:tcPr>
            <w:tcW w:w="684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测试线</w:t>
            </w:r>
          </w:p>
        </w:tc>
        <w:tc>
          <w:tcPr>
            <w:tcW w:w="684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4条（红黑各2条）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电池</w:t>
            </w:r>
          </w:p>
        </w:tc>
        <w:tc>
          <w:tcPr>
            <w:tcW w:w="684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6节（碱性干电池：1.5V AA）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说明书、保修卡、合格证</w:t>
            </w:r>
          </w:p>
        </w:tc>
        <w:tc>
          <w:tcPr>
            <w:tcW w:w="6840" w:type="dxa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1份</w:t>
            </w:r>
          </w:p>
        </w:tc>
      </w:tr>
    </w:tbl>
    <w:p>
      <w:pPr>
        <w:spacing w:line="0" w:lineRule="atLeast"/>
        <w:rPr>
          <w:rFonts w:hint="eastAsia" w:ascii="宋体" w:hAnsi="宋体"/>
          <w:sz w:val="24"/>
        </w:rPr>
      </w:pPr>
    </w:p>
    <w:p>
      <w:pPr>
        <w:spacing w:line="0" w:lineRule="atLeast"/>
        <w:rPr>
          <w:rFonts w:hint="eastAsia" w:ascii="宋体" w:hAnsi="宋体"/>
          <w:sz w:val="24"/>
        </w:rPr>
      </w:pPr>
    </w:p>
    <w:p>
      <w:pPr>
        <w:spacing w:line="0" w:lineRule="atLeast"/>
        <w:rPr>
          <w:rFonts w:hint="eastAsia" w:ascii="宋体" w:hAnsi="宋体"/>
          <w:sz w:val="24"/>
        </w:rPr>
      </w:pPr>
    </w:p>
    <w:p>
      <w:pPr>
        <w:spacing w:line="0" w:lineRule="atLeast"/>
        <w:ind w:left="665" w:hanging="662" w:hangingChars="276"/>
        <w:outlineLvl w:val="0"/>
        <w:rPr>
          <w:rFonts w:hint="eastAsia" w:ascii="宋体" w:hAnsi="宋体"/>
          <w:b/>
          <w:sz w:val="24"/>
        </w:rPr>
      </w:pPr>
      <w:bookmarkStart w:id="8" w:name="_Toc679"/>
      <w:r>
        <w:rPr>
          <w:rFonts w:hint="eastAsia" w:ascii="宋体" w:hAnsi="宋体"/>
          <w:b/>
          <w:sz w:val="24"/>
        </w:rPr>
        <w:t>附：测试接线参考图：</w:t>
      </w:r>
      <w:bookmarkEnd w:id="8"/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pict>
          <v:shape id="_x0000_s1049" o:spid="_x0000_s1049" o:spt="75" type="#_x0000_t75" style="position:absolute;left:0pt;margin-left:264.7pt;margin-top:11.35pt;height:280.8pt;width:245.4pt;z-index:251683840;mso-width-relative:page;mso-height-relative:page;" o:ole="t" filled="f" o:preferrelative="t" stroked="f" coordsize="21600,21600">
            <v:path/>
            <v:fill on="f" alignshape="1" focussize="0,0"/>
            <v:stroke on="f"/>
            <v:imagedata r:id="rId38" grayscale="f" bilevel="f" o:title=""/>
            <o:lock v:ext="edit" aspectratio="t"/>
          </v:shape>
          <o:OLEObject Type="Embed" ProgID="" ShapeID="_x0000_s1049" DrawAspect="Content" ObjectID="_1468075741" r:id="rId37">
            <o:LockedField>false</o:LockedField>
          </o:OLEObject>
        </w:pict>
      </w:r>
      <w:r>
        <w:rPr>
          <w:rFonts w:ascii="宋体" w:hAnsi="宋体"/>
          <w:sz w:val="24"/>
        </w:rPr>
        <w:pict>
          <v:shape id="_x0000_s1050" o:spid="_x0000_s1050" o:spt="75" type="#_x0000_t75" style="position:absolute;left:0pt;margin-left:9pt;margin-top:10.25pt;height:274.1pt;width:239.95pt;z-index:251684864;mso-width-relative:page;mso-height-relative:page;" o:ole="t" filled="f" o:preferrelative="t" stroked="f" coordsize="21600,21600">
            <v:path/>
            <v:fill on="f" alignshape="1" focussize="0,0"/>
            <v:stroke on="f"/>
            <v:imagedata r:id="rId40" grayscale="f" bilevel="f" o:title=""/>
            <o:lock v:ext="edit" aspectratio="t"/>
          </v:shape>
          <o:OLEObject Type="Embed" ProgID="" ShapeID="_x0000_s1050" DrawAspect="Content" ObjectID="_1468075742" r:id="rId39">
            <o:LockedField>false</o:LockedField>
          </o:OLEObject>
        </w:pict>
      </w: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pict>
          <v:shape id="_x0000_s1051" o:spid="_x0000_s1051" o:spt="75" type="#_x0000_t75" style="position:absolute;left:0pt;margin-left:258pt;margin-top:7.8pt;height:273pt;width:264pt;z-index:251686912;mso-width-relative:page;mso-height-relative:page;" o:ole="t" filled="f" o:preferrelative="t" stroked="f" coordsize="21600,21600">
            <v:path/>
            <v:fill on="f" alignshape="1" focussize="0,0"/>
            <v:stroke on="f"/>
            <v:imagedata r:id="rId42" grayscale="f" bilevel="f" o:title=""/>
            <o:lock v:ext="edit" aspectratio="t"/>
          </v:shape>
          <o:OLEObject Type="Embed" ProgID="" ShapeID="_x0000_s1051" DrawAspect="Content" ObjectID="_1468075743" r:id="rId41">
            <o:LockedField>false</o:LockedField>
          </o:OLEObject>
        </w:pict>
      </w:r>
      <w:r>
        <w:rPr>
          <w:rFonts w:ascii="宋体" w:hAnsi="宋体"/>
          <w:sz w:val="24"/>
        </w:rPr>
        <w:pict>
          <v:shape id="_x0000_s1052" o:spid="_x0000_s1052" o:spt="75" type="#_x0000_t75" style="position:absolute;left:0pt;margin-left:9pt;margin-top:7.8pt;height:280.8pt;width:237.8pt;z-index:251685888;mso-width-relative:page;mso-height-relative:page;" o:ole="t" filled="f" o:preferrelative="t" stroked="f" coordsize="21600,21600">
            <v:path/>
            <v:fill on="f" alignshape="1" focussize="0,0"/>
            <v:stroke on="f"/>
            <v:imagedata r:id="rId44" grayscale="f" bilevel="f" o:title=""/>
            <o:lock v:ext="edit" aspectratio="t"/>
          </v:shape>
          <o:OLEObject Type="Embed" ProgID="" ShapeID="_x0000_s1052" DrawAspect="Content" ObjectID="_1468075744" r:id="rId43">
            <o:LockedField>false</o:LockedField>
          </o:OLEObject>
        </w:pict>
      </w: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spacing w:line="0" w:lineRule="atLeast"/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635</wp:posOffset>
            </wp:positionV>
            <wp:extent cx="3086100" cy="2804160"/>
            <wp:effectExtent l="0" t="0" r="0" b="15240"/>
            <wp:wrapNone/>
            <wp:docPr id="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pict>
          <v:shape id="_x0000_s1054" o:spid="_x0000_s1054" o:spt="75" type="#_x0000_t75" style="position:absolute;left:0pt;margin-left:279pt;margin-top:0.05pt;height:219.5pt;width:225.55pt;z-index:251680768;mso-width-relative:page;mso-height-relative:page;" o:ole="t" filled="f" o:preferrelative="t" stroked="f" coordsize="21600,21600">
            <v:path/>
            <v:fill on="f" alignshape="1" focussize="0,0"/>
            <v:stroke on="f"/>
            <v:imagedata r:id="rId47" grayscale="f" bilevel="f" o:title=""/>
            <o:lock v:ext="edit" aspectratio="t"/>
          </v:shape>
          <o:OLEObject Type="Embed" ProgID="" ShapeID="_x0000_s1054" DrawAspect="Content" ObjectID="_1468075745" r:id="rId46">
            <o:LockedField>false</o:LockedField>
          </o:OLEObject>
        </w:pict>
      </w: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pict>
          <v:shape id="_x0000_s1055" o:spid="_x0000_s1055" o:spt="75" type="#_x0000_t75" style="position:absolute;left:0pt;margin-left:279pt;margin-top:0.05pt;height:229.15pt;width:232pt;z-index:251682816;mso-width-relative:page;mso-height-relative:page;" o:ole="t" filled="f" o:preferrelative="t" stroked="f" coordsize="21600,21600">
            <v:path/>
            <v:fill on="f" alignshape="1" focussize="0,0"/>
            <v:stroke on="f"/>
            <v:imagedata r:id="rId49" grayscale="f" bilevel="f" o:title=""/>
            <o:lock v:ext="edit" aspectratio="t"/>
          </v:shape>
          <o:OLEObject Type="Embed" ProgID="" ShapeID="_x0000_s1055" DrawAspect="Content" ObjectID="_1468075746" r:id="rId48">
            <o:LockedField>false</o:LockedField>
          </o:OLEObject>
        </w:pict>
      </w:r>
      <w:r>
        <w:rPr>
          <w:rFonts w:ascii="宋体" w:hAnsi="宋体"/>
          <w:sz w:val="24"/>
        </w:rPr>
        <w:pict>
          <v:shape id="_x0000_s1056" o:spid="_x0000_s1056" o:spt="75" type="#_x0000_t75" style="position:absolute;left:0pt;margin-left:27pt;margin-top:0.05pt;height:233.05pt;width:234pt;z-index:251681792;mso-width-relative:page;mso-height-relative:page;" o:ole="t" filled="f" o:preferrelative="t" stroked="f" coordsize="21600,21600">
            <v:path/>
            <v:fill on="f" alignshape="1" focussize="0,0"/>
            <v:stroke on="f"/>
            <v:imagedata r:id="rId51" grayscale="f" bilevel="f" o:title=""/>
            <o:lock v:ext="edit" aspectratio="t"/>
          </v:shape>
          <o:OLEObject Type="Embed" ProgID="" ShapeID="_x0000_s1056" DrawAspect="Content" ObjectID="_1468075747" r:id="rId50">
            <o:LockedField>false</o:LockedField>
          </o:OLEObject>
        </w:pict>
      </w: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pict>
          <v:shape id="_x0000_s1057" o:spid="_x0000_s1057" o:spt="75" type="#_x0000_t75" style="position:absolute;left:0pt;margin-left:279pt;margin-top:7.85pt;height:226.4pt;width:234pt;z-index:251688960;mso-width-relative:page;mso-height-relative:page;" o:ole="t" filled="f" o:preferrelative="t" stroked="f" coordsize="21600,21600">
            <v:path/>
            <v:fill on="f" alignshape="1" focussize="0,0"/>
            <v:stroke on="f"/>
            <v:imagedata r:id="rId53" grayscale="f" bilevel="f" o:title=""/>
            <o:lock v:ext="edit" aspectratio="t"/>
          </v:shape>
          <o:OLEObject Type="Embed" ProgID="" ShapeID="_x0000_s1057" DrawAspect="Content" ObjectID="_1468075748" r:id="rId52">
            <o:LockedField>false</o:LockedField>
          </o:OLEObject>
        </w:pict>
      </w:r>
      <w:r>
        <w:rPr>
          <w:rFonts w:hint="eastAsia" w:ascii="宋体" w:hAnsi="宋体"/>
          <w:sz w:val="24"/>
        </w:rPr>
        <w:pict>
          <v:shape id="_x0000_s1058" o:spid="_x0000_s1058" o:spt="75" type="#_x0000_t75" style="position:absolute;left:0pt;margin-left:9pt;margin-top:7.85pt;height:207.55pt;width:234pt;z-index:251687936;mso-width-relative:page;mso-height-relative:page;" o:ole="t" filled="f" o:preferrelative="t" stroked="f" coordsize="21600,21600">
            <v:path/>
            <v:fill on="f" alignshape="1" focussize="0,0"/>
            <v:stroke on="f"/>
            <v:imagedata r:id="rId55" grayscale="f" bilevel="f" o:title=""/>
            <o:lock v:ext="edit" aspectratio="t"/>
          </v:shape>
          <o:OLEObject Type="Embed" ProgID="" ShapeID="_x0000_s1058" DrawAspect="Content" ObjectID="_1468075749" r:id="rId54">
            <o:LockedField>false</o:LockedField>
          </o:OLEObject>
        </w:pict>
      </w: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ind w:left="662" w:hanging="662" w:hangingChars="276"/>
        <w:rPr>
          <w:rFonts w:hint="eastAsia" w:ascii="宋体" w:hAnsi="宋体"/>
          <w:sz w:val="24"/>
        </w:rPr>
      </w:pPr>
    </w:p>
    <w:p>
      <w:pPr>
        <w:spacing w:line="0" w:lineRule="atLeast"/>
        <w:jc w:val="left"/>
      </w:pPr>
      <w:r>
        <w:rPr>
          <w:rFonts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829310</wp:posOffset>
                </wp:positionV>
                <wp:extent cx="2724785" cy="777240"/>
                <wp:effectExtent l="4445" t="4445" r="13970" b="18415"/>
                <wp:wrapNone/>
                <wp:docPr id="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78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" o:spid="_x0000_s1026" o:spt="202" type="#_x0000_t202" style="position:absolute;left:0pt;margin-left:172.35pt;margin-top:65.3pt;height:61.2pt;width:214.55pt;z-index:251692032;mso-width-relative:margin;mso-height-relative:page;mso-width-percent:400;" fillcolor="#FFFFFF" filled="t" stroked="t" coordsize="21600,21600" o:gfxdata="UEsDBAoAAAAAAIdO4kAAAAAAAAAAAAAAAAAEAAAAZHJzL1BLAwQUAAAACACHTuJANjdDkNcAAAAL&#10;AQAADwAAAGRycy9kb3ducmV2LnhtbE2Py07DMBBF90j8gzVIbBC186ApIU4XSJXY0sLeid04YI+j&#10;2G3Tv2dYwXJ0j+6c22wX79jZzHEMKCFbCWAG+6BHHCR8HHaPG2AxKdTKBTQSribCtr29aVStwwXf&#10;zXmfBkYlGGslwaY01ZzH3hqv4ipMBik7htmrROc8cD2rC5V7x3Mh1tyrEemDVZN5tab/3p+8hPJL&#10;dZ8xe8jdsrvOIk3L89topby/y8QLsGSW9AfDrz6pQ0tOXTihjsxJKMqyIpSCQqyBEVFVBY3pJORP&#10;hQDeNvz/hvYHUEsDBBQAAAAIAIdO4kBzVudB7gEAAOkDAAAOAAAAZHJzL2Uyb0RvYy54bWytU81u&#10;EzEQviPxDpbvZNOFkBJlUwlCuCBAKjzAxPbuWvKfPG528wLwBpy4cOe58hwdO21K6aWq2IN3bI8/&#10;f/N94+XFaA3bqYjau4afTaacKSe81K5r+LevmxfnnGECJ8F4pxq+V8gvVs+fLYewULXvvZEqMgJx&#10;uBhCw/uUwqKqUPTKAk58UI42Wx8tJJrGrpIRBkK3pqqn09fV4KMM0QuFSKvr4yZfFfy2VSJ9bltU&#10;iZmGE7dUxljGbR6r1RIWXYTQa3FDA57AwoJ2dOkJag0J2FXUD6CsFtGjb9NEeFv5ttVClRqomrPp&#10;P9Vc9hBUqYXEwXCSCf8frPi0+xKZlg0noxxYsujw88fh15/D7+/s5SzrMwRcUNploMQ0vvUj+Xy7&#10;jrSYyx7baPOfCmK0T0rvT+qqMTFBi/W8fjU/n3EmaG8+p1mRv7o7HSKmD8pbloOGR3KviAq7j5iI&#10;CaXepuTL0BstN9qYMond9p2JbAfk9KZ8mSQduZdmHBsa/mZWZx5ADdcaSBTaQBKg68p9907g44Az&#10;sTVgfyRQEI7NZXVSsbRZr0C+d5KlfSCZHb0HnslYJTkzip5PjkpmAm0ek0nVGUdFZouOVuQojduR&#10;YHK49XJPtl2FqLueJC3GlXTqp6LOTe/nhv17XkDvXujq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Y3Q5DXAAAACwEAAA8AAAAAAAAAAQAgAAAAIgAAAGRycy9kb3ducmV2LnhtbFBLAQIUABQAAAAI&#10;AIdO4kBzVudB7gEAAOkDAAAOAAAAAAAAAAEAIAAAACYBAABkcnMvZTJvRG9jLnhtbFBLBQYAAAAA&#10;BgAGAFkBAACG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5755005</wp:posOffset>
                </wp:positionV>
                <wp:extent cx="571500" cy="297180"/>
                <wp:effectExtent l="0" t="0" r="0" b="7620"/>
                <wp:wrapNone/>
                <wp:docPr id="7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-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243pt;margin-top:453.15pt;height:23.4pt;width:45pt;z-index:-251625472;mso-width-relative:page;mso-height-relative:page;" fillcolor="#FFFFFF" filled="t" stroked="f" coordsize="21600,21600" o:gfxdata="UEsDBAoAAAAAAIdO4kAAAAAAAAAAAAAAAAAEAAAAZHJzL1BLAwQUAAAACACHTuJAf8Q/p9gAAAAL&#10;AQAADwAAAGRycy9kb3ducmV2LnhtbE2PwU7DMBBE70j8g7VIXBC1Q5ukDXEqgQTi2tIP2MRuEhGv&#10;o9ht2r9ne4Ljzo5m3pTbixvE2U6h96QhWSgQlhpvemo1HL4/ntcgQkQyOHiyGq42wLa6vyuxMH6m&#10;nT3vYys4hEKBGroYx0LK0HTWYVj40RL/jn5yGPmcWmkmnDncDfJFqUw67IkbOhzte2ebn/3JaTh+&#10;zU/pZq4/4yHfrbI37PPaX7V+fEjUK4hoL/HPDDd8RoeKmWp/IhPEoGG1znhL1LBR2RIEO9L8ptSs&#10;pMsEZFXK/xuqX1BLAwQUAAAACACHTuJAWW5Txa8BAAAyAwAADgAAAGRycy9lMm9Eb2MueG1srVJL&#10;jhMxEN0jcQfLe9KdoExmWumMBKOwQYA0cADHbXdbsl1W2ZPuXABuwIoNe86Vc1B2Mhk+O0Qvqu2q&#10;5+d6r7y+nZxle4XRgG/5fFZzpryEzvi+5Z8+bl9ccxaT8J2w4FXLDyry283zZ+sxNGoBA9hOISMS&#10;H5sxtHxIKTRVFeWgnIgzCMpTUQM6kWiLfdWhGInd2WpR11fVCNgFBKlipOzdqcg3hV9rJdN7raNK&#10;zLacekslYom7HKvNWjQ9ijAYeW5D/EMXThhPl16o7kQS7AHNX1TOSIQIOs0kuAq0NlIVDaRmXv+h&#10;5n4QQRUtZE4MF5vi/6OV7/YfkJmu5SvOvHA0ouPXL8dvP47fP7OXV9mfMcSGYPeBgGl6BRPN+TEf&#10;KZllTxpd/pMgRnVy+nBxV02JSUouV/NlTRVJpcXNan5d3K+eDgeM6Y0Cx/Ki5UjDK56K/duYqBGC&#10;PkLyXRGs6bbG2rLBfvfaItsLGvS2fLlHOvIbzHo2tvxmuVgWZg/5/AlnPcGz1pOmvErTbjobsIPu&#10;QPofApp+oOaKAwVOgyn3nB9Rnvyv+0L69NQ3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/xD+n&#10;2AAAAAsBAAAPAAAAAAAAAAEAIAAAACIAAABkcnMvZG93bnJldi54bWxQSwECFAAUAAAACACHTuJA&#10;WW5Txa8BAAAyAwAADgAAAAAAAAABACAAAAAnAQAAZHJzL2Uyb0RvYy54bWxQSwUGAAAAAAYABgBZ&#10;AQAAS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-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1907" w:h="16840"/>
      <w:pgMar w:top="567" w:right="567" w:bottom="567" w:left="567" w:header="454" w:footer="454" w:gutter="0"/>
      <w:pgNumType w:fmt="decimal"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imSun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MT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imHei-Identity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h58sLcBAABUAwAADgAAAGRycy9lMm9Eb2MueG1srVPNahsxEL4H+g5C&#10;93rXhgRnsRwSQkqhtIEkDyBrJa9Af4xk7/oF2jfoqZfe81x+joxkrxPaW8hFO6MZffN9M7OLq8Ea&#10;spUQtXeMTic1JdIJ32q3ZvTp8e7znJKYuGu58U4yupORXi0/nS360MiZ77xpJRAEcbHpA6NdSqGp&#10;qig6aXmc+CAdBpUHyxO6sK5a4D2iW1PN6vqi6j20AbyQMeLt7SFIlwVfKSnSD6WiTMQwitxSOaGc&#10;q3xWywVv1sBDp8WRBn8HC8u1w6InqFueONmA/g/KagE+epUmwtvKK6WFLBpQzbT+R81Dx4MsWrA5&#10;MZzaFD8OVnzf3gPRLaMXlDhucUT737/2f573f3+SaW5PH2KDWQ8B89Jw4wcc83gf8TKrHhTY/EU9&#10;BOPY6N2puXJIRORH89l8XmNIYGx0EL96fR4gpi/SW5INRgGnV5rKt99iOqSOKbma83famDJB40jP&#10;6OX57Lw8OEUQ3DiskUUcyGYrDavhqGzl2x0K63EDGHW4opSYrw4bnJdlNGA0VqOxCaDXXdmmzCSG&#10;601CNoVkrnCAPRbG0RWZxzXLu/HWL1mvP8Py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Bm&#10;HnywtwEAAFQ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jc w:val="left"/>
    </w:pPr>
    <w:r>
      <w:rPr>
        <w:rFonts w:hint="eastAsia" w:ascii="宋体" w:hAnsi="宋体"/>
        <w:sz w:val="21"/>
        <w:szCs w:val="21"/>
      </w:rPr>
      <w:t xml:space="preserve">YTC2220数字双钳相位伏安表   </w:t>
    </w:r>
    <w:r>
      <w:rPr>
        <w:rFonts w:hint="eastAsia" w:ascii="宋体" w:hAnsi="宋体"/>
        <w:sz w:val="21"/>
        <w:szCs w:val="21"/>
        <w:lang w:val="en-US" w:eastAsia="zh-CN"/>
      </w:rPr>
      <w:t xml:space="preserve">        </w:t>
    </w:r>
    <w:r>
      <w:rPr>
        <w:rFonts w:hint="eastAsia" w:ascii="宋体" w:hAnsi="宋体"/>
        <w:sz w:val="21"/>
        <w:szCs w:val="21"/>
      </w:rPr>
      <w:t xml:space="preserve">   www.hb1000kv.com     </w:t>
    </w:r>
    <w:r>
      <w:rPr>
        <w:rFonts w:hint="eastAsia" w:ascii="宋体" w:hAnsi="宋体"/>
        <w:sz w:val="21"/>
        <w:szCs w:val="21"/>
        <w:lang w:val="en-US" w:eastAsia="zh-CN"/>
      </w:rPr>
      <w:t xml:space="preserve">          </w:t>
    </w:r>
    <w:r>
      <w:rPr>
        <w:rFonts w:hint="eastAsia" w:ascii="宋体" w:hAnsi="宋体"/>
        <w:sz w:val="21"/>
        <w:szCs w:val="21"/>
      </w:rPr>
      <w:t xml:space="preserve">  湖北仪天成电力设备有限公司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E346E"/>
    <w:rsid w:val="09D036AB"/>
    <w:rsid w:val="1DA85BC4"/>
    <w:rsid w:val="24DF5B93"/>
    <w:rsid w:val="2C237C55"/>
    <w:rsid w:val="338F1957"/>
    <w:rsid w:val="3B6117CF"/>
    <w:rsid w:val="4F2A18F9"/>
    <w:rsid w:val="597101F7"/>
    <w:rsid w:val="602016D4"/>
    <w:rsid w:val="68692C13"/>
    <w:rsid w:val="6C307B29"/>
    <w:rsid w:val="6D4F5152"/>
    <w:rsid w:val="7FE1490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qFormat/>
    <w:uiPriority w:val="0"/>
    <w:pPr>
      <w:ind w:left="2520" w:leftChars="1200"/>
    </w:p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toc 8"/>
    <w:basedOn w:val="1"/>
    <w:next w:val="1"/>
    <w:uiPriority w:val="0"/>
    <w:pPr>
      <w:ind w:left="2940" w:leftChars="1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4"/>
    <w:basedOn w:val="1"/>
    <w:next w:val="1"/>
    <w:qFormat/>
    <w:uiPriority w:val="0"/>
    <w:pPr>
      <w:ind w:left="1260" w:leftChars="600"/>
    </w:pPr>
  </w:style>
  <w:style w:type="paragraph" w:styleId="10">
    <w:name w:val="toc 6"/>
    <w:basedOn w:val="1"/>
    <w:next w:val="1"/>
    <w:qFormat/>
    <w:uiPriority w:val="0"/>
    <w:pPr>
      <w:ind w:left="2100" w:leftChars="1000"/>
    </w:pPr>
  </w:style>
  <w:style w:type="paragraph" w:styleId="11">
    <w:name w:val="Body Text Indent 3"/>
    <w:basedOn w:val="1"/>
    <w:qFormat/>
    <w:uiPriority w:val="0"/>
    <w:pPr>
      <w:spacing w:line="320" w:lineRule="exact"/>
      <w:ind w:firstLine="420" w:firstLineChars="200"/>
    </w:p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toc 9"/>
    <w:basedOn w:val="1"/>
    <w:next w:val="1"/>
    <w:qFormat/>
    <w:uiPriority w:val="0"/>
    <w:pPr>
      <w:ind w:left="3360" w:leftChars="16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2.png"/><Relationship Id="rId7" Type="http://schemas.openxmlformats.org/officeDocument/2006/relationships/oleObject" Target="embeddings/oleObject1.bin"/><Relationship Id="rId6" Type="http://schemas.openxmlformats.org/officeDocument/2006/relationships/image" Target="media/image1.jpe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25.wmf"/><Relationship Id="rId54" Type="http://schemas.openxmlformats.org/officeDocument/2006/relationships/oleObject" Target="embeddings/oleObject25.bin"/><Relationship Id="rId53" Type="http://schemas.openxmlformats.org/officeDocument/2006/relationships/image" Target="media/image24.wmf"/><Relationship Id="rId52" Type="http://schemas.openxmlformats.org/officeDocument/2006/relationships/oleObject" Target="embeddings/oleObject24.bin"/><Relationship Id="rId51" Type="http://schemas.openxmlformats.org/officeDocument/2006/relationships/image" Target="media/image23.wmf"/><Relationship Id="rId50" Type="http://schemas.openxmlformats.org/officeDocument/2006/relationships/oleObject" Target="embeddings/oleObject23.bin"/><Relationship Id="rId5" Type="http://schemas.openxmlformats.org/officeDocument/2006/relationships/theme" Target="theme/theme1.xml"/><Relationship Id="rId49" Type="http://schemas.openxmlformats.org/officeDocument/2006/relationships/image" Target="media/image22.wmf"/><Relationship Id="rId48" Type="http://schemas.openxmlformats.org/officeDocument/2006/relationships/oleObject" Target="embeddings/oleObject22.bin"/><Relationship Id="rId47" Type="http://schemas.openxmlformats.org/officeDocument/2006/relationships/image" Target="media/image21.wmf"/><Relationship Id="rId46" Type="http://schemas.openxmlformats.org/officeDocument/2006/relationships/oleObject" Target="embeddings/oleObject21.bin"/><Relationship Id="rId45" Type="http://schemas.openxmlformats.org/officeDocument/2006/relationships/image" Target="media/image20.wmf"/><Relationship Id="rId44" Type="http://schemas.openxmlformats.org/officeDocument/2006/relationships/image" Target="media/image19.wmf"/><Relationship Id="rId43" Type="http://schemas.openxmlformats.org/officeDocument/2006/relationships/oleObject" Target="embeddings/oleObject20.bin"/><Relationship Id="rId42" Type="http://schemas.openxmlformats.org/officeDocument/2006/relationships/image" Target="media/image18.wmf"/><Relationship Id="rId41" Type="http://schemas.openxmlformats.org/officeDocument/2006/relationships/oleObject" Target="embeddings/oleObject19.bin"/><Relationship Id="rId40" Type="http://schemas.openxmlformats.org/officeDocument/2006/relationships/image" Target="media/image17.wmf"/><Relationship Id="rId4" Type="http://schemas.openxmlformats.org/officeDocument/2006/relationships/footer" Target="footer1.xml"/><Relationship Id="rId39" Type="http://schemas.openxmlformats.org/officeDocument/2006/relationships/oleObject" Target="embeddings/oleObject18.bin"/><Relationship Id="rId38" Type="http://schemas.openxmlformats.org/officeDocument/2006/relationships/image" Target="media/image16.wmf"/><Relationship Id="rId37" Type="http://schemas.openxmlformats.org/officeDocument/2006/relationships/oleObject" Target="embeddings/oleObject17.bin"/><Relationship Id="rId36" Type="http://schemas.openxmlformats.org/officeDocument/2006/relationships/oleObject" Target="embeddings/oleObject16.bin"/><Relationship Id="rId35" Type="http://schemas.openxmlformats.org/officeDocument/2006/relationships/image" Target="media/image15.png"/><Relationship Id="rId34" Type="http://schemas.openxmlformats.org/officeDocument/2006/relationships/image" Target="media/image14.wmf"/><Relationship Id="rId33" Type="http://schemas.openxmlformats.org/officeDocument/2006/relationships/oleObject" Target="embeddings/oleObject15.bin"/><Relationship Id="rId32" Type="http://schemas.openxmlformats.org/officeDocument/2006/relationships/image" Target="media/image13.wmf"/><Relationship Id="rId31" Type="http://schemas.openxmlformats.org/officeDocument/2006/relationships/oleObject" Target="embeddings/oleObject14.bin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" Type="http://schemas.openxmlformats.org/officeDocument/2006/relationships/oleObject" Target="embeddings/oleObject12.bin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oleObject" Target="embeddings/oleObject9.bin"/><Relationship Id="rId24" Type="http://schemas.openxmlformats.org/officeDocument/2006/relationships/image" Target="media/image11.wmf"/><Relationship Id="rId23" Type="http://schemas.openxmlformats.org/officeDocument/2006/relationships/oleObject" Target="embeddings/oleObject8.bin"/><Relationship Id="rId22" Type="http://schemas.openxmlformats.org/officeDocument/2006/relationships/image" Target="media/image10.wmf"/><Relationship Id="rId21" Type="http://schemas.openxmlformats.org/officeDocument/2006/relationships/oleObject" Target="embeddings/oleObject7.bin"/><Relationship Id="rId20" Type="http://schemas.openxmlformats.org/officeDocument/2006/relationships/image" Target="media/image9.emf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image" Target="media/image7.wmf"/><Relationship Id="rId17" Type="http://schemas.openxmlformats.org/officeDocument/2006/relationships/oleObject" Target="embeddings/oleObject6.bin"/><Relationship Id="rId16" Type="http://schemas.openxmlformats.org/officeDocument/2006/relationships/image" Target="media/image6.wmf"/><Relationship Id="rId15" Type="http://schemas.openxmlformats.org/officeDocument/2006/relationships/oleObject" Target="embeddings/oleObject5.bin"/><Relationship Id="rId14" Type="http://schemas.openxmlformats.org/officeDocument/2006/relationships/image" Target="media/image5.wmf"/><Relationship Id="rId13" Type="http://schemas.openxmlformats.org/officeDocument/2006/relationships/oleObject" Target="embeddings/oleObject4.bin"/><Relationship Id="rId12" Type="http://schemas.openxmlformats.org/officeDocument/2006/relationships/image" Target="media/image4.wmf"/><Relationship Id="rId11" Type="http://schemas.openxmlformats.org/officeDocument/2006/relationships/oleObject" Target="embeddings/oleObject3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61"/>
    <customShpInfo spid="_x0000_s1062"/>
    <customShpInfo spid="_x0000_s1031"/>
    <customShpInfo spid="_x0000_s1032"/>
    <customShpInfo spid="_x0000_s1033"/>
    <customShpInfo spid="_x0000_s1034"/>
    <customShpInfo spid="_x0000_s1037"/>
    <customShpInfo spid="_x0000_s1038"/>
    <customShpInfo spid="_x0000_s1039"/>
    <customShpInfo spid="_x0000_s1040"/>
    <customShpInfo spid="_x0000_s1042"/>
    <customShpInfo spid="_x0000_s1043"/>
    <customShpInfo spid="_x0000_s1044"/>
    <customShpInfo spid="_x0000_s1045"/>
    <customShpInfo spid="_x0000_s1046"/>
    <customShpInfo spid="_x0000_s1048"/>
    <customShpInfo spid="_x0000_s1049"/>
    <customShpInfo spid="_x0000_s1050"/>
    <customShpInfo spid="_x0000_s1051"/>
    <customShpInfo spid="_x0000_s1052"/>
    <customShpInfo spid="_x0000_s1054"/>
    <customShpInfo spid="_x0000_s1055"/>
    <customShpInfo spid="_x0000_s1056"/>
    <customShpInfo spid="_x0000_s1057"/>
    <customShpInfo spid="_x0000_s1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cp:lastPrinted>2018-03-23T02:47:00Z</cp:lastPrinted>
  <dcterms:modified xsi:type="dcterms:W3CDTF">2018-06-26T02:38:53Z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